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40C24" w14:textId="7C68E540" w:rsidR="00E11EFA" w:rsidRPr="00BA371C" w:rsidRDefault="00E11EFA" w:rsidP="00E11EFA">
      <w:pPr>
        <w:pStyle w:val="Header"/>
        <w:tabs>
          <w:tab w:val="right" w:pos="9639"/>
        </w:tabs>
        <w:rPr>
          <w:noProof w:val="0"/>
          <w:sz w:val="24"/>
          <w:szCs w:val="24"/>
          <w:lang w:val="en-GB"/>
        </w:rPr>
      </w:pPr>
      <w:r w:rsidRPr="00BA371C">
        <w:rPr>
          <w:noProof w:val="0"/>
          <w:sz w:val="24"/>
          <w:szCs w:val="24"/>
          <w:lang w:val="en-GB"/>
        </w:rPr>
        <w:t>3GPP TSG RAN WG1 #9</w:t>
      </w:r>
      <w:r>
        <w:rPr>
          <w:noProof w:val="0"/>
          <w:sz w:val="24"/>
          <w:szCs w:val="24"/>
          <w:lang w:val="en-GB"/>
        </w:rPr>
        <w:t>8</w:t>
      </w:r>
      <w:r w:rsidRPr="00BA371C">
        <w:rPr>
          <w:bCs/>
          <w:noProof w:val="0"/>
          <w:sz w:val="24"/>
          <w:szCs w:val="24"/>
          <w:lang w:val="en-GB"/>
        </w:rPr>
        <w:tab/>
      </w:r>
      <w:r w:rsidRPr="00BA371C">
        <w:rPr>
          <w:noProof w:val="0"/>
          <w:sz w:val="24"/>
          <w:szCs w:val="24"/>
          <w:lang w:val="en-GB"/>
        </w:rPr>
        <w:t>R1-</w:t>
      </w:r>
      <w:r w:rsidRPr="00BA371C">
        <w:rPr>
          <w:lang w:val="en-GB"/>
        </w:rPr>
        <w:t xml:space="preserve"> </w:t>
      </w:r>
      <w:r w:rsidRPr="00BA371C">
        <w:rPr>
          <w:noProof w:val="0"/>
          <w:sz w:val="24"/>
          <w:szCs w:val="24"/>
          <w:lang w:val="en-GB"/>
        </w:rPr>
        <w:t>19</w:t>
      </w:r>
      <w:r w:rsidR="00972AC5">
        <w:rPr>
          <w:noProof w:val="0"/>
          <w:sz w:val="24"/>
          <w:szCs w:val="24"/>
          <w:lang w:val="en-GB"/>
        </w:rPr>
        <w:t>08349</w:t>
      </w:r>
    </w:p>
    <w:p w14:paraId="2062A662" w14:textId="77777777" w:rsidR="00E11EFA" w:rsidRDefault="00E11EFA" w:rsidP="00E11EFA">
      <w:pPr>
        <w:pStyle w:val="Header"/>
        <w:rPr>
          <w:bCs/>
          <w:noProof w:val="0"/>
          <w:sz w:val="24"/>
          <w:szCs w:val="24"/>
        </w:rPr>
      </w:pPr>
      <w:r>
        <w:rPr>
          <w:bCs/>
          <w:noProof w:val="0"/>
          <w:sz w:val="24"/>
          <w:szCs w:val="24"/>
        </w:rPr>
        <w:t>Prague, CZ, 26</w:t>
      </w:r>
      <w:r w:rsidRPr="00B65452">
        <w:rPr>
          <w:bCs/>
          <w:noProof w:val="0"/>
          <w:sz w:val="24"/>
          <w:szCs w:val="24"/>
          <w:vertAlign w:val="superscript"/>
        </w:rPr>
        <w:t>th</w:t>
      </w:r>
      <w:r>
        <w:rPr>
          <w:bCs/>
          <w:noProof w:val="0"/>
          <w:sz w:val="24"/>
          <w:szCs w:val="24"/>
        </w:rPr>
        <w:t xml:space="preserve"> – 30</w:t>
      </w:r>
      <w:r w:rsidRPr="00C86B1D">
        <w:rPr>
          <w:bCs/>
          <w:noProof w:val="0"/>
          <w:sz w:val="24"/>
          <w:szCs w:val="24"/>
          <w:vertAlign w:val="superscript"/>
        </w:rPr>
        <w:t>th</w:t>
      </w:r>
      <w:r>
        <w:rPr>
          <w:bCs/>
          <w:noProof w:val="0"/>
          <w:sz w:val="24"/>
          <w:szCs w:val="24"/>
        </w:rPr>
        <w:t xml:space="preserve"> </w:t>
      </w:r>
      <w:proofErr w:type="gramStart"/>
      <w:r>
        <w:rPr>
          <w:bCs/>
          <w:noProof w:val="0"/>
          <w:sz w:val="24"/>
          <w:szCs w:val="24"/>
        </w:rPr>
        <w:t>August,</w:t>
      </w:r>
      <w:proofErr w:type="gramEnd"/>
      <w:r>
        <w:rPr>
          <w:bCs/>
          <w:noProof w:val="0"/>
          <w:sz w:val="24"/>
          <w:szCs w:val="24"/>
        </w:rPr>
        <w:t xml:space="preserve"> 2019</w:t>
      </w:r>
    </w:p>
    <w:p w14:paraId="0395C743" w14:textId="77777777" w:rsidR="00E11EFA" w:rsidRPr="00850D96" w:rsidRDefault="00E11EFA" w:rsidP="00E11EFA">
      <w:pPr>
        <w:pStyle w:val="Header"/>
        <w:rPr>
          <w:bCs/>
          <w:noProof w:val="0"/>
          <w:sz w:val="24"/>
          <w:lang w:val="en-GB" w:eastAsia="ja-JP"/>
        </w:rPr>
      </w:pPr>
    </w:p>
    <w:p w14:paraId="2409F7A9" w14:textId="79BF737E" w:rsidR="00E11EFA" w:rsidRPr="001E5981" w:rsidRDefault="00E11EFA" w:rsidP="00E11EFA">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Pr="00BD2F13">
        <w:rPr>
          <w:rFonts w:cs="Arial"/>
          <w:b/>
          <w:bCs/>
          <w:sz w:val="24"/>
          <w:szCs w:val="24"/>
        </w:rPr>
        <w:t>7.</w:t>
      </w:r>
      <w:r>
        <w:rPr>
          <w:rFonts w:cs="Arial"/>
          <w:b/>
          <w:bCs/>
          <w:sz w:val="24"/>
          <w:szCs w:val="24"/>
        </w:rPr>
        <w:t>2.10.</w:t>
      </w:r>
      <w:r w:rsidR="00AB7168">
        <w:rPr>
          <w:rFonts w:cs="Arial"/>
          <w:b/>
          <w:bCs/>
          <w:sz w:val="24"/>
          <w:szCs w:val="24"/>
        </w:rPr>
        <w:t>4</w:t>
      </w:r>
    </w:p>
    <w:p w14:paraId="2D6EC937" w14:textId="77777777" w:rsidR="00E11EFA" w:rsidRPr="001E5981" w:rsidRDefault="00E11EFA" w:rsidP="00E11EFA">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 xml:space="preserve">Source: </w:t>
      </w:r>
      <w:r w:rsidRPr="0016316A">
        <w:rPr>
          <w:rFonts w:ascii="Arial" w:hAnsi="Arial" w:cs="Arial"/>
          <w:b/>
          <w:bCs/>
          <w:sz w:val="24"/>
        </w:rPr>
        <w:tab/>
      </w:r>
      <w:r w:rsidRPr="3E61DC49">
        <w:rPr>
          <w:rFonts w:ascii="Arial" w:hAnsi="Arial" w:cs="Arial"/>
          <w:b/>
          <w:bCs/>
          <w:sz w:val="24"/>
          <w:szCs w:val="24"/>
        </w:rPr>
        <w:t>Nokia, Nokia Shanghai B</w:t>
      </w:r>
      <w:bookmarkStart w:id="0" w:name="_GoBack"/>
      <w:bookmarkEnd w:id="0"/>
      <w:r w:rsidRPr="3E61DC49">
        <w:rPr>
          <w:rFonts w:ascii="Arial" w:hAnsi="Arial" w:cs="Arial"/>
          <w:b/>
          <w:bCs/>
          <w:sz w:val="24"/>
          <w:szCs w:val="24"/>
        </w:rPr>
        <w:t>ell</w:t>
      </w:r>
    </w:p>
    <w:p w14:paraId="0E2A0D03" w14:textId="0A72BF90" w:rsidR="00E11EFA" w:rsidRPr="0016316A" w:rsidRDefault="00E11EFA" w:rsidP="00AB7168">
      <w:pPr>
        <w:ind w:left="1985" w:hanging="1985"/>
        <w:rPr>
          <w:rFonts w:ascii="Arial" w:hAnsi="Arial" w:cs="Arial"/>
          <w:b/>
          <w:bCs/>
          <w:sz w:val="24"/>
          <w:szCs w:val="24"/>
        </w:rPr>
      </w:pPr>
      <w:r w:rsidRPr="3E61DC49">
        <w:rPr>
          <w:rFonts w:ascii="Arial" w:hAnsi="Arial" w:cs="Arial"/>
          <w:b/>
          <w:bCs/>
          <w:sz w:val="24"/>
          <w:szCs w:val="24"/>
        </w:rPr>
        <w:t xml:space="preserve">Title: </w:t>
      </w:r>
      <w:r w:rsidRPr="0016316A">
        <w:rPr>
          <w:rFonts w:ascii="Arial" w:hAnsi="Arial" w:cs="Arial"/>
          <w:b/>
          <w:bCs/>
          <w:sz w:val="24"/>
        </w:rPr>
        <w:tab/>
      </w:r>
      <w:r w:rsidR="00AB7168">
        <w:rPr>
          <w:rFonts w:ascii="Arial" w:hAnsi="Arial" w:cs="Arial"/>
          <w:b/>
          <w:bCs/>
          <w:sz w:val="24"/>
        </w:rPr>
        <w:t xml:space="preserve">Views on </w:t>
      </w:r>
      <w:r w:rsidR="00AB7168">
        <w:rPr>
          <w:rFonts w:ascii="Arial" w:hAnsi="Arial" w:cs="Arial"/>
          <w:b/>
          <w:bCs/>
          <w:sz w:val="24"/>
          <w:szCs w:val="24"/>
        </w:rPr>
        <w:t>Physical Layer Procedures</w:t>
      </w:r>
      <w:r w:rsidR="00AB7168" w:rsidRPr="003B3752">
        <w:rPr>
          <w:rFonts w:ascii="Arial" w:hAnsi="Arial" w:cs="Arial"/>
          <w:b/>
          <w:bCs/>
          <w:sz w:val="24"/>
          <w:szCs w:val="24"/>
        </w:rPr>
        <w:t xml:space="preserve"> for NR Positioning</w:t>
      </w:r>
    </w:p>
    <w:p w14:paraId="7E41F13F" w14:textId="77777777" w:rsidR="00E11EFA" w:rsidRPr="0016316A" w:rsidRDefault="00E11EFA" w:rsidP="00E11EFA">
      <w:pPr>
        <w:rPr>
          <w:rFonts w:ascii="Arial" w:hAnsi="Arial" w:cs="Arial"/>
          <w:b/>
          <w:bCs/>
          <w:sz w:val="24"/>
          <w:szCs w:val="24"/>
        </w:rPr>
      </w:pPr>
      <w:r w:rsidRPr="3E61DC49">
        <w:rPr>
          <w:rFonts w:ascii="Arial" w:hAnsi="Arial" w:cs="Arial"/>
          <w:b/>
          <w:bCs/>
          <w:sz w:val="24"/>
          <w:szCs w:val="24"/>
        </w:rPr>
        <w:t xml:space="preserve">Document for: </w:t>
      </w:r>
      <w:r w:rsidRPr="0016316A">
        <w:rPr>
          <w:rFonts w:ascii="Arial" w:hAnsi="Arial" w:cs="Arial"/>
          <w:b/>
          <w:bCs/>
          <w:sz w:val="24"/>
        </w:rPr>
        <w:tab/>
      </w:r>
      <w:r w:rsidRPr="3E61DC49">
        <w:rPr>
          <w:rFonts w:ascii="Arial" w:hAnsi="Arial" w:cs="Arial"/>
          <w:b/>
          <w:bCs/>
          <w:sz w:val="24"/>
          <w:szCs w:val="24"/>
        </w:rPr>
        <w:t>Discussion and Decision</w:t>
      </w:r>
    </w:p>
    <w:p w14:paraId="42D0F0D4" w14:textId="77777777" w:rsidR="00E11EFA" w:rsidRPr="00ED1327" w:rsidRDefault="00E11EFA" w:rsidP="00E11EFA">
      <w:pPr>
        <w:pStyle w:val="Heading1"/>
      </w:pPr>
      <w:r>
        <w:t>Introduction</w:t>
      </w:r>
    </w:p>
    <w:p w14:paraId="23E18530" w14:textId="77777777" w:rsidR="00AB7168" w:rsidRDefault="00AB7168" w:rsidP="00AB7168">
      <w:bookmarkStart w:id="1" w:name="_Hlk510705081"/>
      <w:r>
        <w:t>As part of the WID [</w:t>
      </w:r>
      <w:r w:rsidRPr="00B71881">
        <w:t>1</w:t>
      </w:r>
      <w:r>
        <w:t>], RAN1 has the following objective related to physical layer procedures for NR positioning:</w:t>
      </w:r>
    </w:p>
    <w:p w14:paraId="1DBF4533" w14:textId="77777777" w:rsidR="00AB7168" w:rsidRPr="00057F88" w:rsidRDefault="00AB7168" w:rsidP="00AB7168">
      <w:pPr>
        <w:pStyle w:val="3GPPAgreements"/>
        <w:ind w:left="284" w:hanging="284"/>
        <w:rPr>
          <w:sz w:val="20"/>
        </w:rPr>
      </w:pPr>
      <w:r>
        <w:rPr>
          <w:sz w:val="20"/>
        </w:rPr>
        <w:t>If necessary, d</w:t>
      </w:r>
      <w:r w:rsidRPr="00057F88">
        <w:rPr>
          <w:sz w:val="20"/>
        </w:rPr>
        <w:t>efine physical-layer procedures to support UE</w:t>
      </w:r>
      <w:r>
        <w:rPr>
          <w:sz w:val="20"/>
        </w:rPr>
        <w:t>/gNB</w:t>
      </w:r>
      <w:r w:rsidRPr="00057F88">
        <w:rPr>
          <w:sz w:val="20"/>
        </w:rPr>
        <w:t xml:space="preserve"> measurements for NR positioning </w:t>
      </w:r>
      <w:r>
        <w:rPr>
          <w:sz w:val="20"/>
        </w:rPr>
        <w:t>[</w:t>
      </w:r>
      <w:r w:rsidRPr="00057F88">
        <w:rPr>
          <w:sz w:val="20"/>
        </w:rPr>
        <w:t>RAN1]</w:t>
      </w:r>
    </w:p>
    <w:p w14:paraId="4DCE894C" w14:textId="77777777" w:rsidR="00AB7168" w:rsidRDefault="00AB7168" w:rsidP="00AB7168"/>
    <w:p w14:paraId="0776054D" w14:textId="77777777" w:rsidR="00AB7168" w:rsidRDefault="00AB7168" w:rsidP="00AB7168">
      <w:r>
        <w:t xml:space="preserve">This contribution discusses Nokia’s view on any physical-layer procedures needed to support NR positioning measurements in Rel-16. For Nokia’s view on the downlink and uplink reference signal design for NR positioning see [2-3]. In addition, see our companion contribution [4] for our views on UE/gNB measurements for NR positioning. </w:t>
      </w:r>
    </w:p>
    <w:p w14:paraId="4D5DC4F4" w14:textId="77777777" w:rsidR="00E11EFA" w:rsidRDefault="00E11EFA" w:rsidP="00E11EFA">
      <w:pPr>
        <w:pStyle w:val="Heading1"/>
      </w:pPr>
      <w:r>
        <w:t>Discussion</w:t>
      </w:r>
    </w:p>
    <w:bookmarkEnd w:id="1"/>
    <w:p w14:paraId="2A1E301C" w14:textId="2B67C3DD" w:rsidR="00BE677F" w:rsidRDefault="00BE677F" w:rsidP="00BE677F">
      <w:pPr>
        <w:pStyle w:val="Heading2"/>
        <w:rPr>
          <w:lang w:val="en-US"/>
        </w:rPr>
      </w:pPr>
      <w:r>
        <w:rPr>
          <w:lang w:val="en-US"/>
        </w:rPr>
        <w:t>gNB RX beam selection</w:t>
      </w:r>
    </w:p>
    <w:p w14:paraId="190C09B0" w14:textId="77777777" w:rsidR="00BE677F" w:rsidRDefault="00BE677F" w:rsidP="00BE677F">
      <w:pPr>
        <w:rPr>
          <w:lang w:val="en-US"/>
        </w:rPr>
      </w:pPr>
      <w:r>
        <w:rPr>
          <w:lang w:val="en-US"/>
        </w:rPr>
        <w:t>At RAN1#97 the following agreement was reached</w:t>
      </w:r>
    </w:p>
    <w:tbl>
      <w:tblPr>
        <w:tblStyle w:val="TableGrid"/>
        <w:tblW w:w="0" w:type="auto"/>
        <w:tblLook w:val="04A0" w:firstRow="1" w:lastRow="0" w:firstColumn="1" w:lastColumn="0" w:noHBand="0" w:noVBand="1"/>
      </w:tblPr>
      <w:tblGrid>
        <w:gridCol w:w="9629"/>
      </w:tblGrid>
      <w:tr w:rsidR="00BE677F" w14:paraId="0E19E080" w14:textId="77777777" w:rsidTr="002D4641">
        <w:tc>
          <w:tcPr>
            <w:tcW w:w="9629" w:type="dxa"/>
          </w:tcPr>
          <w:p w14:paraId="1332FB41" w14:textId="77777777" w:rsidR="00BE677F" w:rsidRDefault="00BE677F" w:rsidP="002D4641">
            <w:r w:rsidRPr="00D41EDA">
              <w:rPr>
                <w:highlight w:val="green"/>
              </w:rPr>
              <w:t>Agreement:</w:t>
            </w:r>
          </w:p>
          <w:p w14:paraId="493B94A7" w14:textId="77777777" w:rsidR="00BE677F" w:rsidRPr="00BE677F" w:rsidRDefault="00BE677F" w:rsidP="00BE677F">
            <w:pPr>
              <w:rPr>
                <w:lang w:val="en-US"/>
              </w:rPr>
            </w:pPr>
            <w:r w:rsidRPr="00BE677F">
              <w:t>For positioning purposes, for UL Beam management/alignment towards serving and neighbouring cells, the following is supported (in addition to UE TX beam sweeping):</w:t>
            </w:r>
          </w:p>
          <w:p w14:paraId="0DC29BBE" w14:textId="77777777" w:rsidR="008C3047" w:rsidRPr="00BE677F" w:rsidRDefault="009C32AD" w:rsidP="00BE677F">
            <w:pPr>
              <w:numPr>
                <w:ilvl w:val="0"/>
                <w:numId w:val="37"/>
              </w:numPr>
              <w:rPr>
                <w:lang w:val="en-US"/>
              </w:rPr>
            </w:pPr>
            <w:r w:rsidRPr="00BE677F">
              <w:t>Configuration of a spatial relation between a reference DL RS from serving or neighbouring cells and the target SRS.</w:t>
            </w:r>
          </w:p>
          <w:p w14:paraId="7DDD9007" w14:textId="77777777" w:rsidR="008C3047" w:rsidRPr="00BE677F" w:rsidRDefault="009C32AD" w:rsidP="00BE677F">
            <w:pPr>
              <w:numPr>
                <w:ilvl w:val="1"/>
                <w:numId w:val="37"/>
              </w:numPr>
              <w:rPr>
                <w:lang w:val="en-US"/>
              </w:rPr>
            </w:pPr>
            <w:r w:rsidRPr="00BE677F">
              <w:t>Reference DL RS that can be used include at least SSB. FFS on CSI-RS, DL-PRS.</w:t>
            </w:r>
          </w:p>
          <w:p w14:paraId="37EB4BBD" w14:textId="77777777" w:rsidR="008C3047" w:rsidRPr="00BE677F" w:rsidRDefault="009C32AD" w:rsidP="00BE677F">
            <w:pPr>
              <w:numPr>
                <w:ilvl w:val="0"/>
                <w:numId w:val="37"/>
              </w:numPr>
              <w:rPr>
                <w:lang w:val="en-US"/>
              </w:rPr>
            </w:pPr>
            <w:r w:rsidRPr="00BE677F">
              <w:t>A fixed Tx beam for UL SRS transmissions across multiple UL SRS Resources, for both FR1 and FR2.</w:t>
            </w:r>
          </w:p>
          <w:p w14:paraId="58C55A6A" w14:textId="77777777" w:rsidR="008C3047" w:rsidRPr="00BE677F" w:rsidRDefault="009C32AD" w:rsidP="00BE677F">
            <w:pPr>
              <w:numPr>
                <w:ilvl w:val="1"/>
                <w:numId w:val="37"/>
              </w:numPr>
              <w:rPr>
                <w:lang w:val="en-US"/>
              </w:rPr>
            </w:pPr>
            <w:r w:rsidRPr="00BE677F">
              <w:t>FFS how the fixed beam is selected.</w:t>
            </w:r>
          </w:p>
          <w:p w14:paraId="262A7CA9" w14:textId="77777777" w:rsidR="008C3047" w:rsidRPr="00BE677F" w:rsidRDefault="009C32AD" w:rsidP="00BE677F">
            <w:pPr>
              <w:numPr>
                <w:ilvl w:val="0"/>
                <w:numId w:val="37"/>
              </w:numPr>
              <w:rPr>
                <w:lang w:val="en-US"/>
              </w:rPr>
            </w:pPr>
            <w:r w:rsidRPr="00BE677F">
              <w:t>FFS on specification impacts.</w:t>
            </w:r>
          </w:p>
          <w:p w14:paraId="6ADF284C" w14:textId="2FDA1992" w:rsidR="00BE677F" w:rsidRPr="00BE677F" w:rsidRDefault="009C32AD" w:rsidP="00BE677F">
            <w:pPr>
              <w:numPr>
                <w:ilvl w:val="0"/>
                <w:numId w:val="37"/>
              </w:numPr>
              <w:rPr>
                <w:lang w:val="en-US"/>
              </w:rPr>
            </w:pPr>
            <w:r w:rsidRPr="00BE677F">
              <w:t>Note: In Rel-16, UE is not expected to transmit multiple SRS resources with different spatial relations in the same OFDM symbol (Rel-15 behaviour)</w:t>
            </w:r>
          </w:p>
        </w:tc>
      </w:tr>
    </w:tbl>
    <w:p w14:paraId="0C8B85E7" w14:textId="77777777" w:rsidR="00BE677F" w:rsidRDefault="00BE677F" w:rsidP="00BE677F">
      <w:pPr>
        <w:rPr>
          <w:lang w:val="en-US"/>
        </w:rPr>
      </w:pPr>
    </w:p>
    <w:p w14:paraId="474EFD45" w14:textId="2ADFEDE8" w:rsidR="00BE677F" w:rsidRDefault="00BE677F" w:rsidP="00BE677F">
      <w:pPr>
        <w:rPr>
          <w:rFonts w:eastAsia="Times New Roman"/>
          <w:lang w:eastAsia="zh-CN"/>
        </w:rPr>
      </w:pPr>
      <w:r>
        <w:rPr>
          <w:lang w:val="en-US"/>
        </w:rPr>
        <w:t xml:space="preserve">One related issue to this agreement that has not </w:t>
      </w:r>
      <w:r w:rsidR="00FC65CC">
        <w:rPr>
          <w:lang w:val="en-US"/>
        </w:rPr>
        <w:t xml:space="preserve">been </w:t>
      </w:r>
      <w:r>
        <w:rPr>
          <w:lang w:val="en-US"/>
        </w:rPr>
        <w:t xml:space="preserve">discussed is the topic of gNB RX beamforming during the UL beam management procedure. </w:t>
      </w:r>
      <w:bookmarkStart w:id="2" w:name="_Hlk4752509"/>
      <w:r>
        <w:rPr>
          <w:lang w:val="en-US"/>
        </w:rPr>
        <w:t>One of the agreed solutions for UL RX beam management is to u</w:t>
      </w:r>
      <w:r w:rsidRPr="00F80C0A">
        <w:rPr>
          <w:lang w:val="en-US"/>
        </w:rPr>
        <w:t>se UL beam alignment at FR2 through DL reception and beam correspondence.</w:t>
      </w:r>
      <w:r>
        <w:rPr>
          <w:lang w:val="en-US"/>
        </w:rPr>
        <w:t xml:space="preserve"> It is true that the DL beam correspondence is a simple way to obtain beam correspondence for UL, but a </w:t>
      </w:r>
      <w:r>
        <w:rPr>
          <w:rFonts w:eastAsia="Times New Roman"/>
          <w:lang w:eastAsia="zh-CN"/>
        </w:rPr>
        <w:t>UE may not measure the SSB/DL PRS of all the cells that want to try to receive it for UL positioning.</w:t>
      </w:r>
      <w:bookmarkEnd w:id="2"/>
      <w:r>
        <w:rPr>
          <w:rFonts w:eastAsia="Times New Roman"/>
          <w:lang w:eastAsia="zh-CN"/>
        </w:rPr>
        <w:t xml:space="preserve"> </w:t>
      </w:r>
      <w:proofErr w:type="gramStart"/>
      <w:r>
        <w:rPr>
          <w:rFonts w:eastAsia="Times New Roman"/>
          <w:lang w:eastAsia="zh-CN"/>
        </w:rPr>
        <w:t>Moreover</w:t>
      </w:r>
      <w:proofErr w:type="gramEnd"/>
      <w:r>
        <w:rPr>
          <w:rFonts w:eastAsia="Times New Roman"/>
          <w:lang w:eastAsia="zh-CN"/>
        </w:rPr>
        <w:t xml:space="preserve"> if LMF intends to make specific measurements through a further narrow beam (i.e. for AoA measurement case), DL beam correspondence needs additional CSI-RS resource configurations through RRC signalling. It may also be costly for the UE to measure the SSB for every cell it wants to use for positioning. In this way, if wanting to increase the number of measurement points, </w:t>
      </w:r>
      <w:r w:rsidR="00742422">
        <w:rPr>
          <w:rFonts w:eastAsia="Times New Roman"/>
          <w:lang w:eastAsia="zh-CN"/>
        </w:rPr>
        <w:t>a high</w:t>
      </w:r>
      <w:r>
        <w:rPr>
          <w:rFonts w:eastAsia="Times New Roman"/>
          <w:lang w:eastAsia="zh-CN"/>
        </w:rPr>
        <w:t xml:space="preserve"> measurement load is caused </w:t>
      </w:r>
      <w:r w:rsidR="00742422">
        <w:rPr>
          <w:rFonts w:eastAsia="Times New Roman"/>
          <w:lang w:eastAsia="zh-CN"/>
        </w:rPr>
        <w:t>at</w:t>
      </w:r>
      <w:r>
        <w:rPr>
          <w:rFonts w:eastAsia="Times New Roman"/>
          <w:lang w:eastAsia="zh-CN"/>
        </w:rPr>
        <w:t xml:space="preserve"> the UE side for UL positioning, we think such procedure mitigates the benefit of UL positioning methods, which has </w:t>
      </w:r>
      <w:r w:rsidR="00742422">
        <w:rPr>
          <w:rFonts w:eastAsia="Times New Roman"/>
          <w:lang w:eastAsia="zh-CN"/>
        </w:rPr>
        <w:t>little/</w:t>
      </w:r>
      <w:r>
        <w:rPr>
          <w:rFonts w:eastAsia="Times New Roman"/>
          <w:lang w:eastAsia="zh-CN"/>
        </w:rPr>
        <w:t>no dependency on DL resources for UL measurements.</w:t>
      </w:r>
    </w:p>
    <w:p w14:paraId="3C5727C5" w14:textId="6CCD461C" w:rsidR="00BE677F" w:rsidRDefault="00BE677F" w:rsidP="00BE677F">
      <w:pPr>
        <w:rPr>
          <w:rFonts w:eastAsia="Times New Roman"/>
          <w:lang w:eastAsia="zh-CN"/>
        </w:rPr>
      </w:pPr>
      <w:r w:rsidRPr="001A53D4">
        <w:rPr>
          <w:rFonts w:eastAsia="Times New Roman"/>
          <w:b/>
          <w:bCs/>
          <w:lang w:eastAsia="zh-CN"/>
        </w:rPr>
        <w:lastRenderedPageBreak/>
        <w:t xml:space="preserve">Observation </w:t>
      </w:r>
      <w:r w:rsidR="005373F3">
        <w:rPr>
          <w:rFonts w:eastAsia="Times New Roman"/>
          <w:b/>
          <w:bCs/>
          <w:lang w:eastAsia="zh-CN"/>
        </w:rPr>
        <w:t>1</w:t>
      </w:r>
      <w:r>
        <w:rPr>
          <w:rFonts w:eastAsia="Times New Roman"/>
          <w:lang w:eastAsia="zh-CN"/>
        </w:rPr>
        <w:t xml:space="preserve">: Although </w:t>
      </w:r>
      <w:r w:rsidRPr="00C2546B">
        <w:rPr>
          <w:lang w:val="en-US"/>
        </w:rPr>
        <w:t>use of UL beam alignment at FR2 through DL reception and beam correspondence</w:t>
      </w:r>
      <w:r>
        <w:rPr>
          <w:rFonts w:eastAsia="Times New Roman"/>
          <w:lang w:eastAsia="zh-CN"/>
        </w:rPr>
        <w:t xml:space="preserve"> is one of the straightforward solutions,</w:t>
      </w:r>
      <w:r>
        <w:rPr>
          <w:lang w:val="en-US"/>
        </w:rPr>
        <w:t xml:space="preserve"> a </w:t>
      </w:r>
      <w:r>
        <w:rPr>
          <w:rFonts w:eastAsia="Times New Roman"/>
          <w:lang w:eastAsia="zh-CN"/>
        </w:rPr>
        <w:t>UE may not measure the SSB/CSI-RS of all the cells that want to try to receive it for UL positioning.</w:t>
      </w:r>
    </w:p>
    <w:p w14:paraId="769D7306" w14:textId="3A910830" w:rsidR="00BE677F" w:rsidRDefault="00BE677F" w:rsidP="00BE677F">
      <w:pPr>
        <w:rPr>
          <w:rFonts w:eastAsia="Times New Roman"/>
          <w:lang w:eastAsia="zh-CN"/>
        </w:rPr>
      </w:pPr>
      <w:r>
        <w:rPr>
          <w:rFonts w:eastAsia="Times New Roman"/>
          <w:lang w:eastAsia="zh-CN"/>
        </w:rPr>
        <w:t xml:space="preserve">UL beam alignment can be used in scenarios where it is </w:t>
      </w:r>
      <w:proofErr w:type="gramStart"/>
      <w:r>
        <w:rPr>
          <w:rFonts w:eastAsia="Times New Roman"/>
          <w:lang w:eastAsia="zh-CN"/>
        </w:rPr>
        <w:t>sufficient</w:t>
      </w:r>
      <w:proofErr w:type="gramEnd"/>
      <w:r>
        <w:rPr>
          <w:rFonts w:eastAsia="Times New Roman"/>
          <w:lang w:eastAsia="zh-CN"/>
        </w:rPr>
        <w:t xml:space="preserve"> for positioning based on the number of cells the UE is aligned to and the positioning requirements. In the case where UL beam alignment is not </w:t>
      </w:r>
      <w:proofErr w:type="gramStart"/>
      <w:r>
        <w:rPr>
          <w:rFonts w:eastAsia="Times New Roman"/>
          <w:lang w:eastAsia="zh-CN"/>
        </w:rPr>
        <w:t>sufficient</w:t>
      </w:r>
      <w:proofErr w:type="gramEnd"/>
      <w:r>
        <w:rPr>
          <w:rFonts w:eastAsia="Times New Roman"/>
          <w:lang w:eastAsia="zh-CN"/>
        </w:rPr>
        <w:t xml:space="preserve"> then the </w:t>
      </w:r>
      <w:proofErr w:type="spellStart"/>
      <w:r>
        <w:rPr>
          <w:rFonts w:eastAsia="Times New Roman"/>
          <w:lang w:eastAsia="zh-CN"/>
        </w:rPr>
        <w:t>neighboring</w:t>
      </w:r>
      <w:proofErr w:type="spellEnd"/>
      <w:r>
        <w:rPr>
          <w:rFonts w:eastAsia="Times New Roman"/>
          <w:lang w:eastAsia="zh-CN"/>
        </w:rPr>
        <w:t xml:space="preserve"> gNBs may need to perform RX beam sweeping in order to accurately estimate either the angle of arrival or time of arrival from the UE. In the case where not enough cells can hear the UE the LMF may need to trigger /request a larger </w:t>
      </w:r>
      <w:proofErr w:type="spellStart"/>
      <w:r>
        <w:rPr>
          <w:rFonts w:eastAsia="Times New Roman"/>
          <w:lang w:eastAsia="zh-CN"/>
        </w:rPr>
        <w:t>reptition</w:t>
      </w:r>
      <w:proofErr w:type="spellEnd"/>
      <w:r>
        <w:rPr>
          <w:rFonts w:eastAsia="Times New Roman"/>
          <w:lang w:eastAsia="zh-CN"/>
        </w:rPr>
        <w:t xml:space="preserve"> factor of the SRS. </w:t>
      </w:r>
    </w:p>
    <w:p w14:paraId="6C0FD708" w14:textId="6941E1F6" w:rsidR="00A24692" w:rsidRDefault="00A24692" w:rsidP="00BE677F">
      <w:pPr>
        <w:rPr>
          <w:rFonts w:eastAsia="Times New Roman"/>
          <w:lang w:eastAsia="zh-CN"/>
        </w:rPr>
      </w:pPr>
      <w:r>
        <w:rPr>
          <w:rFonts w:eastAsia="Times New Roman"/>
          <w:lang w:eastAsia="zh-CN"/>
        </w:rPr>
        <w:t xml:space="preserve">In the equivalent for the DL there is the notion of Repetition ON for CSI-RS which the UE can use to help it determine the correct RX beam to use. </w:t>
      </w:r>
      <w:proofErr w:type="gramStart"/>
      <w:r>
        <w:rPr>
          <w:rFonts w:eastAsia="Times New Roman"/>
          <w:lang w:eastAsia="zh-CN"/>
        </w:rPr>
        <w:t>In order for</w:t>
      </w:r>
      <w:proofErr w:type="gramEnd"/>
      <w:r>
        <w:rPr>
          <w:rFonts w:eastAsia="Times New Roman"/>
          <w:lang w:eastAsia="zh-CN"/>
        </w:rPr>
        <w:t xml:space="preserve"> the </w:t>
      </w:r>
      <w:proofErr w:type="spellStart"/>
      <w:r>
        <w:rPr>
          <w:rFonts w:eastAsia="Times New Roman"/>
          <w:lang w:eastAsia="zh-CN"/>
        </w:rPr>
        <w:t>neighboring</w:t>
      </w:r>
      <w:proofErr w:type="spellEnd"/>
      <w:r>
        <w:rPr>
          <w:rFonts w:eastAsia="Times New Roman"/>
          <w:lang w:eastAsia="zh-CN"/>
        </w:rPr>
        <w:t xml:space="preserve"> gNBs to determine the correct RX beam to use they may need to perform RX beam sweeping. For the neighbour gNB to perform this gNB RX beam sweeping in a meaningful way the UE needs to send using the same TX beam during the sweeping. One possibility is for the network (i.e., LMF) to request a type of SRS Repetition ON. </w:t>
      </w:r>
    </w:p>
    <w:p w14:paraId="215993EB" w14:textId="3DE9BC72" w:rsidR="00E11EFA" w:rsidRDefault="00BE677F" w:rsidP="00BE677F">
      <w:pPr>
        <w:spacing w:afterLines="50" w:after="120"/>
        <w:rPr>
          <w:rFonts w:eastAsia="Times New Roman"/>
          <w:lang w:eastAsia="zh-CN"/>
        </w:rPr>
      </w:pPr>
      <w:r w:rsidRPr="00E24618">
        <w:rPr>
          <w:rFonts w:eastAsia="Times New Roman"/>
          <w:b/>
          <w:lang w:eastAsia="zh-CN"/>
        </w:rPr>
        <w:t xml:space="preserve">Proposal </w:t>
      </w:r>
      <w:r w:rsidR="005373F3">
        <w:rPr>
          <w:rFonts w:eastAsia="Times New Roman"/>
          <w:b/>
          <w:lang w:eastAsia="zh-CN"/>
        </w:rPr>
        <w:t>1</w:t>
      </w:r>
      <w:r>
        <w:rPr>
          <w:rFonts w:eastAsia="Times New Roman"/>
          <w:lang w:eastAsia="zh-CN"/>
        </w:rPr>
        <w:t xml:space="preserve">: Support gNB RX beam sweeping including LMF request of number of SRS repeated transmissions. </w:t>
      </w:r>
    </w:p>
    <w:p w14:paraId="04A1F157" w14:textId="56EEFC37" w:rsidR="00A24692" w:rsidRDefault="00A24692" w:rsidP="00BE677F">
      <w:pPr>
        <w:spacing w:afterLines="50" w:after="120"/>
      </w:pPr>
      <w:r w:rsidRPr="00A24692">
        <w:rPr>
          <w:b/>
        </w:rPr>
        <w:t xml:space="preserve">Proposal </w:t>
      </w:r>
      <w:r w:rsidR="005373F3">
        <w:rPr>
          <w:b/>
        </w:rPr>
        <w:t>2</w:t>
      </w:r>
      <w:r>
        <w:t xml:space="preserve">: Support </w:t>
      </w:r>
      <w:r w:rsidR="004437A9">
        <w:t xml:space="preserve">UE indication of </w:t>
      </w:r>
      <w:r>
        <w:t xml:space="preserve">SRS TX Repetition ON with signalling to facilitate RX beam sweeping </w:t>
      </w:r>
      <w:r w:rsidR="001A3478">
        <w:t xml:space="preserve">at gNBs </w:t>
      </w:r>
      <w:r>
        <w:t xml:space="preserve">on SRS for positioning. </w:t>
      </w:r>
    </w:p>
    <w:p w14:paraId="21C27FD6" w14:textId="39275A83" w:rsidR="008A1E78" w:rsidRDefault="008A1E78" w:rsidP="00BE677F">
      <w:pPr>
        <w:spacing w:afterLines="50" w:after="120"/>
      </w:pPr>
      <w:r>
        <w:t xml:space="preserve">One option for UE indication of SRS TX Repetition ON is for the UE to indicate to the serving gNB that it will use the same TX beam for a certain subset of SRS resources. The serving gNB can then report this to the LMF when it informs the LMF of the SRS configuration details via </w:t>
      </w:r>
      <w:proofErr w:type="spellStart"/>
      <w:r>
        <w:t>NRPPa</w:t>
      </w:r>
      <w:proofErr w:type="spellEnd"/>
      <w:r>
        <w:t xml:space="preserve">. Then the </w:t>
      </w:r>
      <w:proofErr w:type="spellStart"/>
      <w:r>
        <w:t>neighboring</w:t>
      </w:r>
      <w:proofErr w:type="spellEnd"/>
      <w:r>
        <w:t xml:space="preserve"> gNBs will be informed of the SRS configuration details by LMF and will be able to facilitate RX beam sweeping if desired. </w:t>
      </w:r>
    </w:p>
    <w:p w14:paraId="16C11AEA" w14:textId="24FED4CA" w:rsidR="0045169A" w:rsidRDefault="0045169A" w:rsidP="0045169A">
      <w:pPr>
        <w:pStyle w:val="Heading2"/>
      </w:pPr>
      <w:r>
        <w:t>PRS BWP Considerations</w:t>
      </w:r>
    </w:p>
    <w:p w14:paraId="787AFBA5" w14:textId="2A494A8F" w:rsidR="00620DE2" w:rsidRDefault="00620DE2" w:rsidP="00F13408">
      <w:pPr>
        <w:jc w:val="both"/>
      </w:pPr>
      <w:r>
        <w:t>In RAN1#96b</w:t>
      </w:r>
      <w:r>
        <w:fldChar w:fldCharType="begin"/>
      </w:r>
      <w:r>
        <w:instrText xml:space="preserve"> REF _Ref6902311 \r \h </w:instrText>
      </w:r>
      <w:r w:rsidR="00F13408">
        <w:instrText xml:space="preserve"> \* MERGEFORMAT </w:instrText>
      </w:r>
      <w:r>
        <w:fldChar w:fldCharType="end"/>
      </w:r>
      <w:r>
        <w:t xml:space="preserve">, it </w:t>
      </w:r>
      <w:r w:rsidR="0028438A">
        <w:rPr>
          <w:rFonts w:hint="eastAsia"/>
          <w:lang w:val="en-US" w:eastAsia="zh-CN"/>
        </w:rPr>
        <w:t>h</w:t>
      </w:r>
      <w:r w:rsidR="0028438A">
        <w:rPr>
          <w:lang w:val="en-US" w:eastAsia="zh-CN"/>
        </w:rPr>
        <w:t xml:space="preserve">as been </w:t>
      </w:r>
      <w:r>
        <w:t xml:space="preserve">agreed that PRS configuration was independent of BWP configuration. In addition, the UE </w:t>
      </w:r>
      <w:proofErr w:type="spellStart"/>
      <w:r>
        <w:t>behavior</w:t>
      </w:r>
      <w:proofErr w:type="spellEnd"/>
      <w:r>
        <w:t xml:space="preserve"> to receive PRS for intra-frequency measurement was discussed. Two options were listed in case measurement gap is configured:</w:t>
      </w:r>
    </w:p>
    <w:tbl>
      <w:tblPr>
        <w:tblStyle w:val="TableGrid"/>
        <w:tblW w:w="0" w:type="auto"/>
        <w:tblLook w:val="04A0" w:firstRow="1" w:lastRow="0" w:firstColumn="1" w:lastColumn="0" w:noHBand="0" w:noVBand="1"/>
      </w:tblPr>
      <w:tblGrid>
        <w:gridCol w:w="9307"/>
      </w:tblGrid>
      <w:tr w:rsidR="00620DE2" w14:paraId="244B8ACD" w14:textId="77777777" w:rsidTr="002D4641">
        <w:tc>
          <w:tcPr>
            <w:tcW w:w="9307" w:type="dxa"/>
          </w:tcPr>
          <w:p w14:paraId="46CFE9C8" w14:textId="77777777" w:rsidR="00885928" w:rsidRPr="0028438A" w:rsidRDefault="00885928" w:rsidP="00F13408">
            <w:pPr>
              <w:spacing w:after="0"/>
              <w:jc w:val="both"/>
              <w:rPr>
                <w:highlight w:val="green"/>
              </w:rPr>
            </w:pPr>
            <w:bookmarkStart w:id="3" w:name="_Hlk15636269"/>
            <w:r w:rsidRPr="007D3757">
              <w:rPr>
                <w:highlight w:val="green"/>
              </w:rPr>
              <w:t>Agreement:</w:t>
            </w:r>
          </w:p>
          <w:p w14:paraId="02AD20CC" w14:textId="43E0CE87" w:rsidR="00885928" w:rsidRDefault="00885928" w:rsidP="00F13408">
            <w:pPr>
              <w:spacing w:after="0"/>
              <w:jc w:val="both"/>
            </w:pPr>
            <w:r>
              <w:t>T</w:t>
            </w:r>
            <w:r w:rsidRPr="005D4817">
              <w:t>he DL PRS configuration provided to the UE is independent of the configured DL BWPs of the UE</w:t>
            </w:r>
          </w:p>
          <w:p w14:paraId="225FEB2F" w14:textId="77777777" w:rsidR="00885928" w:rsidRDefault="00885928" w:rsidP="00F13408">
            <w:pPr>
              <w:spacing w:after="0"/>
              <w:jc w:val="both"/>
              <w:rPr>
                <w:highlight w:val="green"/>
              </w:rPr>
            </w:pPr>
          </w:p>
          <w:p w14:paraId="2114E660" w14:textId="2C20D58C" w:rsidR="00620DE2" w:rsidRPr="00366A59" w:rsidRDefault="00620DE2" w:rsidP="00F13408">
            <w:pPr>
              <w:spacing w:after="0"/>
              <w:jc w:val="both"/>
            </w:pPr>
            <w:r w:rsidRPr="00366A59">
              <w:rPr>
                <w:highlight w:val="green"/>
              </w:rPr>
              <w:t>Agreement:</w:t>
            </w:r>
          </w:p>
          <w:p w14:paraId="39D6A70D" w14:textId="77777777" w:rsidR="00620DE2" w:rsidRPr="00366A59" w:rsidRDefault="00620DE2" w:rsidP="00F13408">
            <w:pPr>
              <w:spacing w:after="0"/>
              <w:jc w:val="both"/>
            </w:pPr>
            <w:r w:rsidRPr="00366A59">
              <w:t>For intra-frequency measurements:</w:t>
            </w:r>
          </w:p>
          <w:p w14:paraId="7AD35DB5" w14:textId="77777777" w:rsidR="00620DE2" w:rsidRPr="00366A59" w:rsidRDefault="00620DE2" w:rsidP="00F13408">
            <w:pPr>
              <w:widowControl w:val="0"/>
              <w:numPr>
                <w:ilvl w:val="0"/>
                <w:numId w:val="41"/>
              </w:numPr>
              <w:overflowPunct/>
              <w:autoSpaceDE/>
              <w:autoSpaceDN/>
              <w:adjustRightInd/>
              <w:spacing w:after="0"/>
              <w:ind w:left="714" w:hanging="357"/>
              <w:jc w:val="both"/>
              <w:textAlignment w:val="auto"/>
              <w:rPr>
                <w:rFonts w:ascii="Times" w:eastAsia="Batang" w:hAnsi="Times"/>
                <w:szCs w:val="24"/>
              </w:rPr>
            </w:pPr>
            <w:r w:rsidRPr="00366A59">
              <w:rPr>
                <w:rFonts w:ascii="Times" w:eastAsia="Batang" w:hAnsi="Times"/>
                <w:szCs w:val="24"/>
              </w:rPr>
              <w:t>The UE is expected to measure the DL PRS resource outside the active DL BWP or with a numerology different from the numerology of the active DL BWP if the measurement is made during a configured measurement gap.</w:t>
            </w:r>
          </w:p>
          <w:p w14:paraId="19BEED9B" w14:textId="77777777" w:rsidR="00620DE2" w:rsidRPr="00366A59" w:rsidRDefault="00620DE2" w:rsidP="00F13408">
            <w:pPr>
              <w:widowControl w:val="0"/>
              <w:numPr>
                <w:ilvl w:val="1"/>
                <w:numId w:val="41"/>
              </w:numPr>
              <w:overflowPunct/>
              <w:autoSpaceDE/>
              <w:autoSpaceDN/>
              <w:adjustRightInd/>
              <w:spacing w:after="0"/>
              <w:jc w:val="both"/>
              <w:textAlignment w:val="auto"/>
              <w:rPr>
                <w:rFonts w:ascii="Times" w:eastAsia="Batang" w:hAnsi="Times"/>
                <w:szCs w:val="24"/>
              </w:rPr>
            </w:pPr>
            <w:r w:rsidRPr="00366A59">
              <w:rPr>
                <w:rFonts w:ascii="Times" w:eastAsia="Batang" w:hAnsi="Times"/>
                <w:szCs w:val="24"/>
              </w:rPr>
              <w:t>Select from one of the following options for the measurement bandwidth</w:t>
            </w:r>
          </w:p>
          <w:p w14:paraId="4CAE08BB" w14:textId="77777777" w:rsidR="00620DE2" w:rsidRPr="00366A59" w:rsidRDefault="00620DE2" w:rsidP="00F13408">
            <w:pPr>
              <w:widowControl w:val="0"/>
              <w:numPr>
                <w:ilvl w:val="2"/>
                <w:numId w:val="41"/>
              </w:numPr>
              <w:overflowPunct/>
              <w:autoSpaceDE/>
              <w:autoSpaceDN/>
              <w:adjustRightInd/>
              <w:spacing w:after="0"/>
              <w:jc w:val="both"/>
              <w:textAlignment w:val="auto"/>
              <w:rPr>
                <w:rFonts w:ascii="Times" w:eastAsia="Batang" w:hAnsi="Times"/>
                <w:szCs w:val="24"/>
              </w:rPr>
            </w:pPr>
            <w:r w:rsidRPr="00366A59">
              <w:rPr>
                <w:rFonts w:ascii="Times" w:eastAsia="Batang" w:hAnsi="Times"/>
                <w:szCs w:val="24"/>
              </w:rPr>
              <w:t>Option 1: The UE measurement is within the DL BWP configuration</w:t>
            </w:r>
          </w:p>
          <w:p w14:paraId="4B91DB54" w14:textId="77777777" w:rsidR="00620DE2" w:rsidRPr="00366A59" w:rsidRDefault="00620DE2" w:rsidP="00F13408">
            <w:pPr>
              <w:widowControl w:val="0"/>
              <w:numPr>
                <w:ilvl w:val="2"/>
                <w:numId w:val="41"/>
              </w:numPr>
              <w:overflowPunct/>
              <w:autoSpaceDE/>
              <w:autoSpaceDN/>
              <w:adjustRightInd/>
              <w:spacing w:after="0"/>
              <w:jc w:val="both"/>
              <w:textAlignment w:val="auto"/>
              <w:rPr>
                <w:rFonts w:ascii="Times" w:eastAsia="Batang" w:hAnsi="Times"/>
                <w:szCs w:val="24"/>
              </w:rPr>
            </w:pPr>
            <w:r w:rsidRPr="00366A59">
              <w:rPr>
                <w:rFonts w:ascii="Times" w:eastAsia="Batang" w:hAnsi="Times"/>
                <w:szCs w:val="24"/>
              </w:rPr>
              <w:t>Option 2: The UE can measure outside the DL BWP configuration</w:t>
            </w:r>
          </w:p>
          <w:p w14:paraId="2093A200" w14:textId="77777777" w:rsidR="00620DE2" w:rsidRDefault="00620DE2" w:rsidP="00F13408">
            <w:pPr>
              <w:widowControl w:val="0"/>
              <w:numPr>
                <w:ilvl w:val="1"/>
                <w:numId w:val="41"/>
              </w:numPr>
              <w:overflowPunct/>
              <w:autoSpaceDE/>
              <w:autoSpaceDN/>
              <w:adjustRightInd/>
              <w:spacing w:after="0"/>
              <w:jc w:val="both"/>
              <w:textAlignment w:val="auto"/>
              <w:rPr>
                <w:rFonts w:ascii="Times" w:eastAsia="Batang" w:hAnsi="Times"/>
                <w:szCs w:val="24"/>
              </w:rPr>
            </w:pPr>
            <w:r w:rsidRPr="00366A59">
              <w:rPr>
                <w:rFonts w:ascii="Times" w:eastAsia="Batang" w:hAnsi="Times"/>
                <w:szCs w:val="24"/>
              </w:rPr>
              <w:t>FFS: Scenarios when measurements gaps would need to be configured.</w:t>
            </w:r>
          </w:p>
          <w:p w14:paraId="359806D9" w14:textId="293FC6C7" w:rsidR="0006005C" w:rsidRPr="00366A59" w:rsidRDefault="0006005C" w:rsidP="00F13408">
            <w:pPr>
              <w:widowControl w:val="0"/>
              <w:numPr>
                <w:ilvl w:val="0"/>
                <w:numId w:val="41"/>
              </w:numPr>
              <w:overflowPunct/>
              <w:autoSpaceDE/>
              <w:autoSpaceDN/>
              <w:adjustRightInd/>
              <w:spacing w:after="0"/>
              <w:ind w:left="714" w:hanging="357"/>
              <w:jc w:val="both"/>
              <w:textAlignment w:val="auto"/>
              <w:rPr>
                <w:rFonts w:ascii="Times" w:eastAsia="Batang" w:hAnsi="Times"/>
                <w:szCs w:val="24"/>
              </w:rPr>
            </w:pPr>
            <w:r w:rsidRPr="002B357B">
              <w:rPr>
                <w:rFonts w:ascii="Times" w:eastAsia="Batang" w:hAnsi="Times"/>
                <w:szCs w:val="24"/>
              </w:rPr>
              <w:t>When not configured with a measurement gap, the UE is only required to measure DL PRS within the active DL BWP and with the same numerology as the active DL BWP.</w:t>
            </w:r>
          </w:p>
        </w:tc>
      </w:tr>
    </w:tbl>
    <w:bookmarkEnd w:id="3"/>
    <w:p w14:paraId="53DA89E3" w14:textId="504B2DF1" w:rsidR="0028438A" w:rsidRDefault="0028438A" w:rsidP="00F13408">
      <w:pPr>
        <w:spacing w:beforeLines="50" w:before="120"/>
        <w:jc w:val="both"/>
      </w:pPr>
      <w:r>
        <w:rPr>
          <w:rFonts w:hint="eastAsia"/>
        </w:rPr>
        <w:t>I</w:t>
      </w:r>
      <w:r>
        <w:t>n RAN1 #97, it is agreed to further down-select option 2 for intra-frequency measurement when measurement gaps are configured.</w:t>
      </w:r>
    </w:p>
    <w:tbl>
      <w:tblPr>
        <w:tblStyle w:val="TableGrid"/>
        <w:tblW w:w="0" w:type="auto"/>
        <w:tblLook w:val="04A0" w:firstRow="1" w:lastRow="0" w:firstColumn="1" w:lastColumn="0" w:noHBand="0" w:noVBand="1"/>
      </w:tblPr>
      <w:tblGrid>
        <w:gridCol w:w="9307"/>
      </w:tblGrid>
      <w:tr w:rsidR="0028438A" w14:paraId="2D7920B4" w14:textId="77777777" w:rsidTr="002D4641">
        <w:tc>
          <w:tcPr>
            <w:tcW w:w="9307" w:type="dxa"/>
          </w:tcPr>
          <w:p w14:paraId="68EAC027" w14:textId="77777777" w:rsidR="0028438A" w:rsidRDefault="0028438A" w:rsidP="00F13408">
            <w:pPr>
              <w:spacing w:after="0"/>
              <w:jc w:val="both"/>
            </w:pPr>
            <w:r w:rsidRPr="002856D6">
              <w:rPr>
                <w:highlight w:val="green"/>
              </w:rPr>
              <w:t>Agreement:</w:t>
            </w:r>
          </w:p>
          <w:p w14:paraId="10DA9779" w14:textId="77777777" w:rsidR="0028438A" w:rsidRDefault="0028438A" w:rsidP="00F13408">
            <w:pPr>
              <w:spacing w:after="0"/>
              <w:jc w:val="both"/>
            </w:pPr>
            <w:r>
              <w:t>For intra-frequency measurements, when measurement gaps are configured, the UE is expected to measure the DL PRS resource outside the configured (active and inactive) BWPs (Option 2 in the related Agreement from RAN1 #96-Bis).</w:t>
            </w:r>
          </w:p>
          <w:p w14:paraId="31A1F678" w14:textId="12A7E320" w:rsidR="0028438A" w:rsidRPr="0028438A" w:rsidRDefault="0028438A" w:rsidP="00F13408">
            <w:pPr>
              <w:numPr>
                <w:ilvl w:val="0"/>
                <w:numId w:val="41"/>
              </w:numPr>
              <w:overflowPunct/>
              <w:autoSpaceDE/>
              <w:autoSpaceDN/>
              <w:adjustRightInd/>
              <w:spacing w:after="0"/>
              <w:jc w:val="both"/>
              <w:textAlignment w:val="auto"/>
            </w:pPr>
            <w:r>
              <w:t xml:space="preserve">Note: The UE has flexibility to measure only on a part of the DL PRS configured bandwidth </w:t>
            </w:r>
            <w:proofErr w:type="gramStart"/>
            <w:r>
              <w:t>as long as</w:t>
            </w:r>
            <w:proofErr w:type="gramEnd"/>
            <w:r>
              <w:t xml:space="preserve"> measurement requirements are met.</w:t>
            </w:r>
          </w:p>
        </w:tc>
      </w:tr>
    </w:tbl>
    <w:p w14:paraId="62C57F1C" w14:textId="5AD6F93E" w:rsidR="0028438A" w:rsidRDefault="0028438A" w:rsidP="00F13408">
      <w:pPr>
        <w:spacing w:beforeLines="50" w:before="120"/>
        <w:jc w:val="both"/>
      </w:pPr>
      <w:r>
        <w:rPr>
          <w:rFonts w:hint="eastAsia"/>
        </w:rPr>
        <w:t>T</w:t>
      </w:r>
      <w:r>
        <w:t xml:space="preserve">o summarize </w:t>
      </w:r>
      <w:r w:rsidR="00303BB5">
        <w:t>what have been</w:t>
      </w:r>
      <w:r>
        <w:t xml:space="preserve"> agree</w:t>
      </w:r>
      <w:r w:rsidR="00303BB5">
        <w:t>d for intra-frequency measurement:</w:t>
      </w:r>
    </w:p>
    <w:p w14:paraId="56B4F4E8" w14:textId="24CD3A96" w:rsidR="0028438A" w:rsidRDefault="00303BB5" w:rsidP="00F13408">
      <w:pPr>
        <w:pStyle w:val="ListParagraph"/>
        <w:numPr>
          <w:ilvl w:val="0"/>
          <w:numId w:val="41"/>
        </w:numPr>
        <w:ind w:left="714" w:hanging="357"/>
        <w:jc w:val="both"/>
        <w:rPr>
          <w:sz w:val="20"/>
          <w:szCs w:val="20"/>
          <w:lang w:val="en-GB" w:eastAsia="en-US"/>
        </w:rPr>
      </w:pPr>
      <w:r>
        <w:rPr>
          <w:sz w:val="20"/>
          <w:szCs w:val="20"/>
          <w:lang w:val="en-GB" w:eastAsia="en-US"/>
        </w:rPr>
        <w:t xml:space="preserve">Case 1: When measurement gaps are not configured, </w:t>
      </w:r>
      <w:r w:rsidRPr="00303BB5">
        <w:rPr>
          <w:sz w:val="20"/>
          <w:szCs w:val="20"/>
          <w:lang w:val="en-GB" w:eastAsia="en-US"/>
        </w:rPr>
        <w:t>the UE is only required to measure DL PRS within the active DL BWP and with the same numerology as the active DL BWP</w:t>
      </w:r>
      <w:r>
        <w:rPr>
          <w:sz w:val="20"/>
          <w:szCs w:val="20"/>
          <w:lang w:val="en-GB" w:eastAsia="en-US"/>
        </w:rPr>
        <w:t>.</w:t>
      </w:r>
    </w:p>
    <w:p w14:paraId="1FB861C6" w14:textId="42F77E6E" w:rsidR="00303BB5" w:rsidRPr="00303BB5" w:rsidRDefault="00303BB5" w:rsidP="00F13408">
      <w:pPr>
        <w:pStyle w:val="ListParagraph"/>
        <w:numPr>
          <w:ilvl w:val="0"/>
          <w:numId w:val="41"/>
        </w:numPr>
        <w:spacing w:afterLines="50" w:after="120"/>
        <w:ind w:left="714" w:hanging="357"/>
        <w:contextualSpacing w:val="0"/>
        <w:jc w:val="both"/>
        <w:rPr>
          <w:sz w:val="20"/>
          <w:szCs w:val="20"/>
          <w:lang w:val="en-GB" w:eastAsia="en-US"/>
        </w:rPr>
      </w:pPr>
      <w:r>
        <w:rPr>
          <w:sz w:val="20"/>
          <w:szCs w:val="20"/>
          <w:lang w:val="en-GB" w:eastAsia="en-US"/>
        </w:rPr>
        <w:t xml:space="preserve">Case 2: </w:t>
      </w:r>
      <w:r>
        <w:rPr>
          <w:rFonts w:hint="eastAsia"/>
          <w:sz w:val="20"/>
          <w:szCs w:val="20"/>
          <w:lang w:val="en-GB" w:eastAsia="en-US"/>
        </w:rPr>
        <w:t>W</w:t>
      </w:r>
      <w:r>
        <w:rPr>
          <w:sz w:val="20"/>
          <w:szCs w:val="20"/>
          <w:lang w:val="en-GB" w:eastAsia="en-US"/>
        </w:rPr>
        <w:t xml:space="preserve">hen measurement gaps are configured, </w:t>
      </w:r>
      <w:r w:rsidRPr="00303BB5">
        <w:rPr>
          <w:sz w:val="20"/>
          <w:szCs w:val="20"/>
          <w:lang w:val="en-GB" w:eastAsia="en-US"/>
        </w:rPr>
        <w:t>the UE is expected to measure the DL PRS resource outside the configured (active and inactive) BWPs</w:t>
      </w:r>
    </w:p>
    <w:p w14:paraId="0D107FF5" w14:textId="3296ABB4" w:rsidR="00303BB5" w:rsidRDefault="00303BB5" w:rsidP="00F13408">
      <w:pPr>
        <w:jc w:val="both"/>
      </w:pPr>
      <w:r>
        <w:rPr>
          <w:rFonts w:hint="eastAsia"/>
        </w:rPr>
        <w:lastRenderedPageBreak/>
        <w:t>I</w:t>
      </w:r>
      <w:r>
        <w:t xml:space="preserve">t is still not clear the UE is </w:t>
      </w:r>
      <w:r w:rsidR="00C019A8">
        <w:t xml:space="preserve">expected to measure </w:t>
      </w:r>
      <w:r w:rsidR="00C019A8" w:rsidRPr="00303BB5">
        <w:t>the DL PRS</w:t>
      </w:r>
      <w:r w:rsidR="00C019A8">
        <w:t xml:space="preserve"> with the same or different numerology as the active DL BWP when </w:t>
      </w:r>
      <w:proofErr w:type="spellStart"/>
      <w:r w:rsidR="00C019A8">
        <w:t>mearuement</w:t>
      </w:r>
      <w:proofErr w:type="spellEnd"/>
      <w:r w:rsidR="00C019A8">
        <w:t xml:space="preserve"> gaps are configured.</w:t>
      </w:r>
    </w:p>
    <w:p w14:paraId="4EAFC428" w14:textId="55DC83AD" w:rsidR="00E763DD" w:rsidRDefault="00C019A8" w:rsidP="00F13408">
      <w:pPr>
        <w:jc w:val="both"/>
      </w:pPr>
      <w:r>
        <w:rPr>
          <w:rFonts w:hint="eastAsia"/>
        </w:rPr>
        <w:t>I</w:t>
      </w:r>
      <w:r>
        <w:t xml:space="preserve">n Rel-15 NR, measurement gaps are typically configured to align with SMTC for connected mode aiming for </w:t>
      </w:r>
      <w:r w:rsidRPr="00C0357E">
        <w:t>SSB based intra-frequency measurement</w:t>
      </w:r>
      <w:r>
        <w:t xml:space="preserve">. In order to perform </w:t>
      </w:r>
      <w:r w:rsidR="00B51937">
        <w:t xml:space="preserve">DL PRS measurement, </w:t>
      </w:r>
      <w:r w:rsidR="00675530">
        <w:t>additional</w:t>
      </w:r>
      <w:r w:rsidR="00B51937">
        <w:t xml:space="preserve"> measurement objects </w:t>
      </w:r>
      <w:r w:rsidR="00675530">
        <w:t xml:space="preserve">to be introduced within </w:t>
      </w:r>
      <w:r w:rsidR="00E763DD">
        <w:t xml:space="preserve">the measurement gaps, which may lead to the increase of measurement gap occasions. Or, a dedicated measurement gap pattern is configured to UE for intra-frequency DL PRS measurement. </w:t>
      </w:r>
      <w:r w:rsidR="00E01FDD">
        <w:rPr>
          <w:rFonts w:hint="eastAsia"/>
          <w:lang w:eastAsia="zh-CN"/>
        </w:rPr>
        <w:t>Both</w:t>
      </w:r>
      <w:r w:rsidR="00E01FDD">
        <w:rPr>
          <w:rFonts w:hint="eastAsia"/>
        </w:rPr>
        <w:t xml:space="preserve"> </w:t>
      </w:r>
      <w:r w:rsidR="00E01FDD">
        <w:t>ways may</w:t>
      </w:r>
      <w:r w:rsidR="003F1276">
        <w:t xml:space="preserve"> have</w:t>
      </w:r>
      <w:r w:rsidR="00E01FDD">
        <w:t xml:space="preserve"> impact</w:t>
      </w:r>
      <w:r w:rsidR="003F1276">
        <w:t xml:space="preserve"> on</w:t>
      </w:r>
      <w:r w:rsidR="00E01FDD">
        <w:t xml:space="preserve"> </w:t>
      </w:r>
      <w:proofErr w:type="spellStart"/>
      <w:r w:rsidR="00E01FDD">
        <w:t>ex</w:t>
      </w:r>
      <w:r w:rsidR="003F1276">
        <w:t>siting</w:t>
      </w:r>
      <w:proofErr w:type="spellEnd"/>
      <w:r w:rsidR="003F1276">
        <w:t xml:space="preserve"> intra-frequency measurement </w:t>
      </w:r>
      <w:proofErr w:type="spellStart"/>
      <w:r w:rsidR="003F1276">
        <w:t>behavior</w:t>
      </w:r>
      <w:proofErr w:type="spellEnd"/>
      <w:r w:rsidR="00E763DD">
        <w:t>.</w:t>
      </w:r>
    </w:p>
    <w:p w14:paraId="6588F25C" w14:textId="29D20D1A" w:rsidR="00F13408" w:rsidRDefault="00E763DD" w:rsidP="00F13408">
      <w:pPr>
        <w:jc w:val="both"/>
        <w:rPr>
          <w:lang w:val="en-US"/>
        </w:rPr>
      </w:pPr>
      <w:r>
        <w:t xml:space="preserve">Therefore, </w:t>
      </w:r>
      <w:r w:rsidR="003F1276">
        <w:rPr>
          <w:rFonts w:hint="eastAsia"/>
          <w:lang w:val="en-US" w:eastAsia="zh-CN"/>
        </w:rPr>
        <w:t>i</w:t>
      </w:r>
      <w:r w:rsidR="003F1276">
        <w:rPr>
          <w:lang w:val="en-US" w:eastAsia="zh-CN"/>
        </w:rPr>
        <w:t>t is more efficient to consider intra-frequency DL PRS measurement without measurement gaps.</w:t>
      </w:r>
      <w:r>
        <w:t xml:space="preserve"> </w:t>
      </w:r>
      <w:r w:rsidR="003F1276">
        <w:t xml:space="preserve">In this case, </w:t>
      </w:r>
      <w:r w:rsidR="00F13408">
        <w:rPr>
          <w:rFonts w:hint="eastAsia"/>
          <w:lang w:eastAsia="zh-CN"/>
        </w:rPr>
        <w:t>it</w:t>
      </w:r>
      <w:r w:rsidR="00F13408">
        <w:rPr>
          <w:rFonts w:hint="eastAsia"/>
        </w:rPr>
        <w:t xml:space="preserve"> </w:t>
      </w:r>
      <w:r w:rsidR="00F13408">
        <w:t>may happen that</w:t>
      </w:r>
      <w:r w:rsidR="003F1276">
        <w:t xml:space="preserve"> the PRS bandwidth</w:t>
      </w:r>
      <w:r>
        <w:t xml:space="preserve"> </w:t>
      </w:r>
      <w:r w:rsidR="003F1276">
        <w:t>and/or PRS numerology are different from that in active DL BWP</w:t>
      </w:r>
      <w:r w:rsidR="00F13408">
        <w:rPr>
          <w:rFonts w:hint="eastAsia"/>
          <w:lang w:val="en-US" w:eastAsia="zh-CN"/>
        </w:rPr>
        <w:t>,</w:t>
      </w:r>
      <w:r w:rsidR="00F13408">
        <w:rPr>
          <w:lang w:val="en-US" w:eastAsia="zh-CN"/>
        </w:rPr>
        <w:t xml:space="preserve"> as </w:t>
      </w:r>
      <w:r w:rsidR="00F13408">
        <w:t xml:space="preserve">information of PRS configuration from neighbour cells is transparent at the serving gNB. </w:t>
      </w:r>
      <w:proofErr w:type="gramStart"/>
      <w:r w:rsidR="00F13408">
        <w:t>Therefore</w:t>
      </w:r>
      <w:proofErr w:type="gramEnd"/>
      <w:r w:rsidR="00F13408">
        <w:t xml:space="preserve"> a UE may or may not have a suitable DL BWP configuration after the UE receives the PRS configuration over LPP. </w:t>
      </w:r>
    </w:p>
    <w:p w14:paraId="51C6AD7B" w14:textId="5FA57FB5" w:rsidR="00F13408" w:rsidRDefault="00F13408" w:rsidP="00F13408">
      <w:pPr>
        <w:jc w:val="both"/>
      </w:pPr>
      <w:r>
        <w:t>Furthermore, not only the PRS configurations from neighbour cells, even the positioning activities (</w:t>
      </w:r>
      <w:proofErr w:type="spellStart"/>
      <w:proofErr w:type="gramStart"/>
      <w:r>
        <w:t>e.g.,PRS</w:t>
      </w:r>
      <w:proofErr w:type="spellEnd"/>
      <w:proofErr w:type="gramEnd"/>
      <w:r>
        <w:t xml:space="preserve"> measurement; measurement report) from the UE are transparent to the gNB. It is beneficial that UE could indicate a BWP allocation/RF switching request to the gNB after it is requested to provide location information. Such request can be carried by an RRC signalling. Then, the gNB knows when and where the UE will perform PRS measurement and potentially allocates suitable BWP to the UE.</w:t>
      </w:r>
      <w:r w:rsidR="002174A4">
        <w:t xml:space="preserve"> The gNB may further </w:t>
      </w:r>
      <w:r w:rsidR="002174A4" w:rsidRPr="005373F3">
        <w:t>switch</w:t>
      </w:r>
      <w:r w:rsidR="002174A4">
        <w:t xml:space="preserve"> DL active</w:t>
      </w:r>
      <w:r w:rsidR="002174A4" w:rsidRPr="005373F3">
        <w:t xml:space="preserve"> BWP periodically </w:t>
      </w:r>
      <w:r w:rsidR="002174A4">
        <w:t>for UE PRS measurement.</w:t>
      </w:r>
    </w:p>
    <w:p w14:paraId="6B3B3EC7" w14:textId="4A7C2F1D" w:rsidR="00F13408" w:rsidRDefault="00F13408" w:rsidP="00F13408">
      <w:pPr>
        <w:jc w:val="both"/>
      </w:pPr>
      <w:r w:rsidRPr="001A3478">
        <w:rPr>
          <w:b/>
          <w:bCs/>
        </w:rPr>
        <w:t xml:space="preserve">Proposal </w:t>
      </w:r>
      <w:r w:rsidR="005373F3">
        <w:rPr>
          <w:b/>
          <w:bCs/>
          <w:lang w:eastAsia="zh-CN"/>
        </w:rPr>
        <w:t>3</w:t>
      </w:r>
      <w:r w:rsidRPr="001A3478">
        <w:rPr>
          <w:b/>
          <w:bCs/>
        </w:rPr>
        <w:t>:</w:t>
      </w:r>
      <w:r>
        <w:t xml:space="preserve"> Support UE requested BWP switching for PRS reception.</w:t>
      </w:r>
    </w:p>
    <w:p w14:paraId="63F0C133" w14:textId="03D1A7C6" w:rsidR="00873A0C" w:rsidRDefault="00873A0C" w:rsidP="3B3CC1F4">
      <w:r>
        <w:t>UL BWP discussion can be followed similarly as DL BWP. UL SRS BWP issues was discussed in Rel-15 already</w:t>
      </w:r>
      <w:r w:rsidR="58555A21" w:rsidRPr="3B3CC1F4">
        <w:t xml:space="preserve"> </w:t>
      </w:r>
      <w:r>
        <w:t>and</w:t>
      </w:r>
      <w:r w:rsidRPr="3B3CC1F4">
        <w:t xml:space="preserve"> </w:t>
      </w:r>
      <w:r>
        <w:t>raised issues to measure UL channel with high quality or efficiency. One simple approach will be to success the same Rel-15 behaviour</w:t>
      </w:r>
      <w:r w:rsidR="58555A21">
        <w:t>s</w:t>
      </w:r>
      <w:r w:rsidRPr="3B3CC1F4">
        <w:t xml:space="preserve">. </w:t>
      </w:r>
    </w:p>
    <w:p w14:paraId="2630B73E" w14:textId="77777777" w:rsidR="00873A0C" w:rsidRDefault="00873A0C" w:rsidP="00873A0C">
      <w:r>
        <w:t xml:space="preserve">In Rel-15 SRS discussions, </w:t>
      </w:r>
      <w:r w:rsidRPr="00D44B84">
        <w:t xml:space="preserve">UEs are expected to receive and transmit only within the frequency range configured for the active BWPs with the associated numerologies. However, there are exceptions; a UE may perform Radio Resource Management (RRM) measurement or transmit </w:t>
      </w:r>
      <w:r>
        <w:t xml:space="preserve">Rel-15 </w:t>
      </w:r>
      <w:r w:rsidRPr="00D44B84">
        <w:t>SRS outside of its active BWP via measurement gap</w:t>
      </w:r>
      <w:r>
        <w:t>.</w:t>
      </w:r>
    </w:p>
    <w:p w14:paraId="3426CF02" w14:textId="5B7DB13A" w:rsidR="00873A0C" w:rsidRDefault="00873A0C" w:rsidP="00873A0C">
      <w:r>
        <w:t xml:space="preserve">There exist two possible interpretations on UL positioning measurement; </w:t>
      </w:r>
      <w:proofErr w:type="gramStart"/>
      <w:r>
        <w:t>firstly</w:t>
      </w:r>
      <w:proofErr w:type="gramEnd"/>
      <w:r>
        <w:t xml:space="preserve"> UL positioning measurement is regarded as a </w:t>
      </w:r>
      <w:r w:rsidR="3B3CC1F4">
        <w:t>common</w:t>
      </w:r>
      <w:r>
        <w:t xml:space="preserve"> UE measurement, </w:t>
      </w:r>
      <w:r w:rsidR="3B3CC1F4">
        <w:t xml:space="preserve">so </w:t>
      </w:r>
      <w:r>
        <w:t>it is measured only in active BWP</w:t>
      </w:r>
      <w:r w:rsidR="0338EF8E" w:rsidRPr="7DE11230">
        <w:t>.</w:t>
      </w:r>
      <w:r w:rsidRPr="7DE11230">
        <w:t xml:space="preserve"> </w:t>
      </w:r>
      <w:r w:rsidR="0338EF8E">
        <w:t>A</w:t>
      </w:r>
      <w:r>
        <w:t xml:space="preserve">nother view will be to treat UL positioning measurement as an exceptional measurement like RRM. We observed some companies’ preferences </w:t>
      </w:r>
      <w:r w:rsidR="0338EF8E">
        <w:t xml:space="preserve">in the last meeting </w:t>
      </w:r>
      <w:r>
        <w:t xml:space="preserve">to success </w:t>
      </w:r>
      <w:r w:rsidRPr="00A13802">
        <w:t>Rel</w:t>
      </w:r>
      <w:r w:rsidRPr="7DE11230">
        <w:t>-</w:t>
      </w:r>
      <w:r w:rsidRPr="00A13802">
        <w:t xml:space="preserve">15 NR SRS configuration and transmission with respect to UL BWPs </w:t>
      </w:r>
      <w:r>
        <w:t xml:space="preserve">and </w:t>
      </w:r>
      <w:r w:rsidRPr="00A13802">
        <w:t xml:space="preserve">carried </w:t>
      </w:r>
      <w:r>
        <w:t xml:space="preserve">it </w:t>
      </w:r>
      <w:r w:rsidRPr="00A13802">
        <w:t xml:space="preserve">over to </w:t>
      </w:r>
      <w:r>
        <w:t xml:space="preserve">Rel-16 </w:t>
      </w:r>
      <w:r w:rsidRPr="00A13802">
        <w:t>SRS configuration and transmission for positioning purposes.</w:t>
      </w:r>
      <w:r>
        <w:t xml:space="preserve"> However as shown</w:t>
      </w:r>
      <w:r w:rsidR="5378822C">
        <w:t xml:space="preserve"> in Rel-15 discussion</w:t>
      </w:r>
      <w:r>
        <w:t>, there exist both SRS transmission behavio</w:t>
      </w:r>
      <w:r w:rsidR="5378822C">
        <w:t>u</w:t>
      </w:r>
      <w:r>
        <w:t>rs as two behavio</w:t>
      </w:r>
      <w:r w:rsidR="001A4458">
        <w:t>u</w:t>
      </w:r>
      <w:r>
        <w:t xml:space="preserve">rs, and </w:t>
      </w:r>
      <w:r w:rsidR="001A4458">
        <w:t>it</w:t>
      </w:r>
      <w:r w:rsidRPr="7DE11230">
        <w:t xml:space="preserve"> </w:t>
      </w:r>
      <w:r w:rsidR="001A4458">
        <w:t xml:space="preserve">is unclear </w:t>
      </w:r>
      <w:r>
        <w:t>which case is applied to Rel-16 SRS</w:t>
      </w:r>
      <w:r w:rsidR="001A4458" w:rsidRPr="7DE11230">
        <w:t xml:space="preserve"> </w:t>
      </w:r>
      <w:r w:rsidR="001A4458">
        <w:t>transmission</w:t>
      </w:r>
      <w:r>
        <w:t xml:space="preserve">. </w:t>
      </w:r>
      <w:r w:rsidR="7DE11230">
        <w:t>I</w:t>
      </w:r>
      <w:r>
        <w:t>t is related with trade-off of positioning performance</w:t>
      </w:r>
      <w:r w:rsidR="7DE11230">
        <w:t xml:space="preserve"> as well</w:t>
      </w:r>
      <w:r>
        <w:t xml:space="preserve">, </w:t>
      </w:r>
      <w:r w:rsidR="7DE11230">
        <w:t xml:space="preserve">therefore </w:t>
      </w:r>
      <w:r>
        <w:t>RAN1 needs to clarify it through an agreement.</w:t>
      </w:r>
    </w:p>
    <w:p w14:paraId="4FE03FDD" w14:textId="66E53D11" w:rsidR="00873A0C" w:rsidRDefault="00873A0C" w:rsidP="00873A0C">
      <w:r w:rsidRPr="005373F3">
        <w:rPr>
          <w:b/>
        </w:rPr>
        <w:t xml:space="preserve">Proposal </w:t>
      </w:r>
      <w:r w:rsidR="005373F3" w:rsidRPr="005373F3">
        <w:rPr>
          <w:b/>
          <w:lang w:eastAsia="zh-CN"/>
        </w:rPr>
        <w:t>4</w:t>
      </w:r>
      <w:r w:rsidRPr="005373F3">
        <w:rPr>
          <w:b/>
        </w:rPr>
        <w:t>:</w:t>
      </w:r>
      <w:r>
        <w:t xml:space="preserve"> Regarding Rel-16 SRS transmission for UL positioning, RAN1 needs to clarify UE transmission behaviour in</w:t>
      </w:r>
      <w:r w:rsidR="00025C6C">
        <w:t xml:space="preserve"> UL</w:t>
      </w:r>
      <w:r>
        <w:t xml:space="preserve"> BWP between two options</w:t>
      </w:r>
    </w:p>
    <w:p w14:paraId="68FEEDB4" w14:textId="3D26CB51" w:rsidR="00873A0C" w:rsidRDefault="00873A0C" w:rsidP="00873A0C">
      <w:pPr>
        <w:ind w:left="284"/>
      </w:pPr>
      <w:r>
        <w:t>(</w:t>
      </w:r>
      <w:proofErr w:type="spellStart"/>
      <w:r>
        <w:t>i</w:t>
      </w:r>
      <w:proofErr w:type="spellEnd"/>
      <w:r>
        <w:t xml:space="preserve">) transmit Rel-16 SRS </w:t>
      </w:r>
      <w:r w:rsidR="00025C6C">
        <w:t xml:space="preserve">for positioning </w:t>
      </w:r>
      <w:r w:rsidRPr="002B53A8">
        <w:t xml:space="preserve">within the active </w:t>
      </w:r>
      <w:r w:rsidR="00025C6C">
        <w:t xml:space="preserve">UL </w:t>
      </w:r>
      <w:r w:rsidRPr="002B53A8">
        <w:t>BWP</w:t>
      </w:r>
    </w:p>
    <w:p w14:paraId="127A94AE" w14:textId="2398DE1B" w:rsidR="00873A0C" w:rsidRPr="00620DE2" w:rsidRDefault="00873A0C" w:rsidP="005373F3">
      <w:pPr>
        <w:ind w:firstLine="284"/>
      </w:pPr>
      <w:r>
        <w:t xml:space="preserve">(ii) transmit Rel-16 SRS </w:t>
      </w:r>
      <w:r w:rsidR="00025C6C">
        <w:t xml:space="preserve">for positioning </w:t>
      </w:r>
      <w:r>
        <w:t>in outside of active</w:t>
      </w:r>
      <w:r w:rsidR="00025C6C">
        <w:t xml:space="preserve"> UL</w:t>
      </w:r>
      <w:r>
        <w:t xml:space="preserve"> BWP (i.e. the largest BWP)</w:t>
      </w:r>
    </w:p>
    <w:p w14:paraId="03A68C0A" w14:textId="77777777" w:rsidR="00873A0C" w:rsidRDefault="00873A0C" w:rsidP="00873A0C">
      <w:pPr>
        <w:pStyle w:val="Heading2"/>
      </w:pPr>
      <w:r>
        <w:lastRenderedPageBreak/>
        <w:t>TA and TPC Issues for UL Positioning</w:t>
      </w:r>
    </w:p>
    <w:p w14:paraId="7C84A578" w14:textId="77777777" w:rsidR="00873A0C" w:rsidRDefault="00873A0C" w:rsidP="00873A0C">
      <w:pPr>
        <w:pStyle w:val="TAH"/>
        <w:jc w:val="left"/>
        <w:rPr>
          <w:highlight w:val="green"/>
          <w:lang w:eastAsia="en-GB"/>
        </w:rPr>
      </w:pPr>
    </w:p>
    <w:p w14:paraId="07CCED2D" w14:textId="77777777" w:rsidR="00873A0C" w:rsidRPr="002B53A8" w:rsidRDefault="00873A0C" w:rsidP="00873A0C">
      <w:pPr>
        <w:pStyle w:val="TAH"/>
        <w:jc w:val="left"/>
        <w:rPr>
          <w:rFonts w:ascii="Times New Roman" w:eastAsia="Times New Roman" w:hAnsi="Times New Roman"/>
          <w:b w:val="0"/>
          <w:sz w:val="20"/>
          <w:lang w:val="en-US" w:eastAsia="ko-KR"/>
        </w:rPr>
      </w:pPr>
      <w:r w:rsidRPr="002B53A8">
        <w:rPr>
          <w:rFonts w:ascii="Times New Roman" w:eastAsia="Times New Roman" w:hAnsi="Times New Roman"/>
          <w:b w:val="0"/>
          <w:sz w:val="20"/>
          <w:lang w:val="en-US" w:eastAsia="ko-KR"/>
        </w:rPr>
        <w:t xml:space="preserve">In RAN1#96bis, RAN1 has found </w:t>
      </w:r>
      <w:proofErr w:type="spellStart"/>
      <w:proofErr w:type="gramStart"/>
      <w:r w:rsidRPr="002B53A8">
        <w:rPr>
          <w:rFonts w:ascii="Times New Roman" w:eastAsia="Times New Roman" w:hAnsi="Times New Roman"/>
          <w:b w:val="0"/>
          <w:sz w:val="20"/>
          <w:lang w:val="en-US" w:eastAsia="ko-KR"/>
        </w:rPr>
        <w:t>a</w:t>
      </w:r>
      <w:proofErr w:type="spellEnd"/>
      <w:proofErr w:type="gramEnd"/>
      <w:r w:rsidRPr="002B53A8">
        <w:rPr>
          <w:rFonts w:ascii="Times New Roman" w:eastAsia="Times New Roman" w:hAnsi="Times New Roman"/>
          <w:b w:val="0"/>
          <w:sz w:val="20"/>
          <w:lang w:val="en-US" w:eastAsia="ko-KR"/>
        </w:rPr>
        <w:t xml:space="preserve"> issue and possible improvement approaches in UL-PRS TA controls, however there was insufficient discussion in RAN1#97. We want to continue the discussion in RAN1#98.</w:t>
      </w:r>
    </w:p>
    <w:p w14:paraId="5BB37F22" w14:textId="77777777" w:rsidR="00873A0C" w:rsidRPr="002B53A8" w:rsidRDefault="00873A0C" w:rsidP="00873A0C">
      <w:pPr>
        <w:pStyle w:val="TAH"/>
        <w:jc w:val="left"/>
        <w:rPr>
          <w:rFonts w:ascii="Times New Roman" w:hAnsi="Times New Roman"/>
          <w:sz w:val="20"/>
          <w:highlight w:val="green"/>
          <w:lang w:val="en-US" w:eastAsia="en-GB"/>
        </w:rPr>
      </w:pPr>
    </w:p>
    <w:p w14:paraId="10212681" w14:textId="77777777" w:rsidR="00873A0C" w:rsidRPr="002B53A8" w:rsidRDefault="00873A0C" w:rsidP="00873A0C">
      <w:pPr>
        <w:pStyle w:val="TAH"/>
        <w:jc w:val="left"/>
        <w:rPr>
          <w:rFonts w:ascii="Times New Roman" w:hAnsi="Times New Roman"/>
          <w:sz w:val="20"/>
          <w:highlight w:val="green"/>
          <w:lang w:val="en-US" w:eastAsia="en-GB"/>
        </w:rPr>
      </w:pPr>
    </w:p>
    <w:tbl>
      <w:tblPr>
        <w:tblStyle w:val="TableGrid"/>
        <w:tblW w:w="0" w:type="auto"/>
        <w:tblLook w:val="04A0" w:firstRow="1" w:lastRow="0" w:firstColumn="1" w:lastColumn="0" w:noHBand="0" w:noVBand="1"/>
      </w:tblPr>
      <w:tblGrid>
        <w:gridCol w:w="9629"/>
      </w:tblGrid>
      <w:tr w:rsidR="00873A0C" w:rsidRPr="00FC4710" w14:paraId="33DD356E" w14:textId="77777777" w:rsidTr="0DA17FB7">
        <w:tc>
          <w:tcPr>
            <w:tcW w:w="9629" w:type="dxa"/>
          </w:tcPr>
          <w:p w14:paraId="62CECC99" w14:textId="77777777" w:rsidR="00873A0C" w:rsidRPr="002B53A8" w:rsidRDefault="00873A0C" w:rsidP="00873A0C">
            <w:pPr>
              <w:pStyle w:val="TAH"/>
              <w:jc w:val="left"/>
              <w:rPr>
                <w:rFonts w:ascii="Times New Roman" w:hAnsi="Times New Roman"/>
                <w:sz w:val="20"/>
                <w:highlight w:val="green"/>
                <w:lang w:val="x-none" w:eastAsia="en-GB"/>
              </w:rPr>
            </w:pPr>
            <w:r w:rsidRPr="002B53A8">
              <w:rPr>
                <w:rFonts w:ascii="Times New Roman" w:hAnsi="Times New Roman"/>
                <w:sz w:val="20"/>
                <w:highlight w:val="green"/>
                <w:lang w:eastAsia="en-GB"/>
              </w:rPr>
              <w:t>Agreements from RAN1#96bis:</w:t>
            </w:r>
          </w:p>
          <w:p w14:paraId="328BEA17" w14:textId="77777777" w:rsidR="00873A0C" w:rsidRPr="002B53A8" w:rsidRDefault="00873A0C" w:rsidP="00873A0C">
            <w:pPr>
              <w:pStyle w:val="TAH"/>
              <w:jc w:val="left"/>
              <w:rPr>
                <w:rFonts w:ascii="Times New Roman" w:hAnsi="Times New Roman"/>
                <w:sz w:val="20"/>
                <w:lang w:eastAsia="en-GB"/>
              </w:rPr>
            </w:pPr>
          </w:p>
          <w:p w14:paraId="3CA04C66" w14:textId="77777777" w:rsidR="00873A0C" w:rsidRPr="002B53A8" w:rsidRDefault="00873A0C" w:rsidP="00873A0C">
            <w:pPr>
              <w:pStyle w:val="TAL"/>
              <w:rPr>
                <w:rFonts w:ascii="Times New Roman" w:hAnsi="Times New Roman"/>
                <w:sz w:val="20"/>
                <w:lang w:val="x-none" w:eastAsia="ko-KR"/>
              </w:rPr>
            </w:pPr>
            <w:r w:rsidRPr="002B53A8">
              <w:rPr>
                <w:rFonts w:ascii="Times New Roman" w:hAnsi="Times New Roman"/>
                <w:sz w:val="20"/>
                <w:lang w:eastAsia="ko-KR"/>
              </w:rPr>
              <w:t xml:space="preserve">For positioning purposes, </w:t>
            </w:r>
            <w:proofErr w:type="gramStart"/>
            <w:r w:rsidRPr="002B53A8">
              <w:rPr>
                <w:rFonts w:ascii="Times New Roman" w:hAnsi="Times New Roman"/>
                <w:sz w:val="20"/>
                <w:lang w:eastAsia="ko-KR"/>
              </w:rPr>
              <w:t>with regard to</w:t>
            </w:r>
            <w:proofErr w:type="gramEnd"/>
            <w:r w:rsidRPr="002B53A8">
              <w:rPr>
                <w:rFonts w:ascii="Times New Roman" w:hAnsi="Times New Roman"/>
                <w:sz w:val="20"/>
                <w:lang w:eastAsia="ko-KR"/>
              </w:rPr>
              <w:t xml:space="preserve"> the UL SRS transmission timing, at least the following options have been identified:</w:t>
            </w:r>
          </w:p>
          <w:p w14:paraId="6C9FA8F0" w14:textId="77777777" w:rsidR="00873A0C" w:rsidRPr="002B53A8" w:rsidRDefault="00873A0C" w:rsidP="00873A0C">
            <w:pPr>
              <w:pStyle w:val="TAL"/>
              <w:numPr>
                <w:ilvl w:val="0"/>
                <w:numId w:val="43"/>
              </w:numPr>
              <w:overflowPunct/>
              <w:autoSpaceDE/>
              <w:autoSpaceDN/>
              <w:adjustRightInd/>
              <w:textAlignment w:val="auto"/>
              <w:rPr>
                <w:rFonts w:ascii="Times New Roman" w:hAnsi="Times New Roman"/>
                <w:sz w:val="20"/>
                <w:lang w:eastAsia="ko-KR"/>
              </w:rPr>
            </w:pPr>
            <w:r w:rsidRPr="002B53A8">
              <w:rPr>
                <w:rFonts w:ascii="Times New Roman" w:hAnsi="Times New Roman"/>
                <w:b/>
                <w:sz w:val="20"/>
                <w:lang w:eastAsia="ko-KR"/>
              </w:rPr>
              <w:t>Option 1</w:t>
            </w:r>
            <w:r w:rsidRPr="002B53A8">
              <w:rPr>
                <w:rFonts w:ascii="Times New Roman" w:hAnsi="Times New Roman"/>
                <w:sz w:val="20"/>
                <w:lang w:eastAsia="ko-KR"/>
              </w:rPr>
              <w:t>: No adjustment is made to the configured TA. That is, support only a TA configuration which is based only on the serving cell (i.e., the TA value applied to the corresponding UL symbol is the same as the latest TA for regular UL symbols).</w:t>
            </w:r>
          </w:p>
          <w:p w14:paraId="4420EEC1" w14:textId="47FA1EA2" w:rsidR="00873A0C" w:rsidRPr="005373F3" w:rsidRDefault="00873A0C">
            <w:pPr>
              <w:pStyle w:val="TAL"/>
              <w:numPr>
                <w:ilvl w:val="0"/>
                <w:numId w:val="43"/>
              </w:numPr>
              <w:overflowPunct/>
              <w:autoSpaceDE/>
              <w:autoSpaceDN/>
              <w:adjustRightInd/>
              <w:textAlignment w:val="auto"/>
              <w:rPr>
                <w:rFonts w:ascii="Times New Roman" w:hAnsi="Times New Roman"/>
                <w:sz w:val="20"/>
                <w:lang w:eastAsia="ko-KR"/>
              </w:rPr>
            </w:pPr>
            <w:r w:rsidRPr="001A3478">
              <w:rPr>
                <w:rFonts w:ascii="Times New Roman" w:hAnsi="Times New Roman"/>
                <w:b/>
                <w:bCs/>
                <w:sz w:val="20"/>
                <w:lang w:eastAsia="ko-KR"/>
              </w:rPr>
              <w:t>Option 2</w:t>
            </w:r>
            <w:r w:rsidRPr="0DA17FB7">
              <w:rPr>
                <w:rFonts w:ascii="Times New Roman" w:hAnsi="Times New Roman"/>
                <w:sz w:val="20"/>
                <w:lang w:eastAsia="ko-KR"/>
              </w:rPr>
              <w:t>:  The configured TA can be adjusted for the purpose of transmitting UL SRS intended to a neighbo</w:t>
            </w:r>
            <w:r w:rsidR="0DA17FB7" w:rsidRPr="0DA17FB7">
              <w:rPr>
                <w:rFonts w:ascii="Times New Roman" w:hAnsi="Times New Roman"/>
                <w:sz w:val="20"/>
                <w:lang w:eastAsia="ko-KR"/>
              </w:rPr>
              <w:t>u</w:t>
            </w:r>
            <w:r w:rsidRPr="0DA17FB7">
              <w:rPr>
                <w:rFonts w:ascii="Times New Roman" w:hAnsi="Times New Roman"/>
                <w:sz w:val="20"/>
                <w:lang w:eastAsia="ko-KR"/>
              </w:rPr>
              <w:t>ring cell. The adjustment value can be provided by the UE to the network upon request.</w:t>
            </w:r>
          </w:p>
          <w:p w14:paraId="3E744DC9" w14:textId="77777777" w:rsidR="00873A0C" w:rsidRPr="002B53A8" w:rsidRDefault="00873A0C" w:rsidP="00873A0C">
            <w:pPr>
              <w:pStyle w:val="TAL"/>
              <w:numPr>
                <w:ilvl w:val="1"/>
                <w:numId w:val="43"/>
              </w:numPr>
              <w:overflowPunct/>
              <w:autoSpaceDE/>
              <w:autoSpaceDN/>
              <w:adjustRightInd/>
              <w:textAlignment w:val="auto"/>
              <w:rPr>
                <w:rFonts w:ascii="Times New Roman" w:hAnsi="Times New Roman"/>
                <w:sz w:val="20"/>
                <w:lang w:eastAsia="ko-KR"/>
              </w:rPr>
            </w:pPr>
            <w:r w:rsidRPr="002B53A8">
              <w:rPr>
                <w:rFonts w:ascii="Times New Roman" w:hAnsi="Times New Roman"/>
                <w:sz w:val="20"/>
                <w:lang w:eastAsia="ko-KR"/>
              </w:rPr>
              <w:t>Note: The adjustment value is not needed to be known at the measuring cell for the purpose of UL-AoA measurement</w:t>
            </w:r>
          </w:p>
          <w:p w14:paraId="0ED8F289" w14:textId="77777777" w:rsidR="00873A0C" w:rsidRPr="002B53A8" w:rsidRDefault="00873A0C" w:rsidP="00873A0C">
            <w:pPr>
              <w:pStyle w:val="TAH"/>
              <w:jc w:val="left"/>
              <w:rPr>
                <w:rFonts w:ascii="Times New Roman" w:hAnsi="Times New Roman"/>
                <w:sz w:val="20"/>
                <w:highlight w:val="green"/>
                <w:lang w:eastAsia="en-GB"/>
              </w:rPr>
            </w:pPr>
            <w:r w:rsidRPr="002B53A8">
              <w:rPr>
                <w:rFonts w:ascii="Times New Roman" w:hAnsi="Times New Roman"/>
                <w:b w:val="0"/>
                <w:sz w:val="20"/>
                <w:lang w:eastAsia="ko-KR"/>
              </w:rPr>
              <w:t>Option 3</w:t>
            </w:r>
            <w:r w:rsidRPr="002B53A8">
              <w:rPr>
                <w:rFonts w:ascii="Times New Roman" w:hAnsi="Times New Roman"/>
                <w:sz w:val="20"/>
                <w:lang w:eastAsia="ko-KR"/>
              </w:rPr>
              <w:t xml:space="preserve">: The configured TA can be adjusted for the purpose of transmitting UL SRS intended to a </w:t>
            </w:r>
            <w:proofErr w:type="spellStart"/>
            <w:r w:rsidRPr="002B53A8">
              <w:rPr>
                <w:rFonts w:ascii="Times New Roman" w:hAnsi="Times New Roman"/>
                <w:sz w:val="20"/>
                <w:lang w:eastAsia="ko-KR"/>
              </w:rPr>
              <w:t>neighboring</w:t>
            </w:r>
            <w:proofErr w:type="spellEnd"/>
            <w:r w:rsidRPr="002B53A8">
              <w:rPr>
                <w:rFonts w:ascii="Times New Roman" w:hAnsi="Times New Roman"/>
                <w:sz w:val="20"/>
                <w:lang w:eastAsia="ko-KR"/>
              </w:rPr>
              <w:t xml:space="preserve"> cell. The adjustment value is provided by the network to the UE.</w:t>
            </w:r>
          </w:p>
        </w:tc>
      </w:tr>
    </w:tbl>
    <w:p w14:paraId="485797A0" w14:textId="77777777" w:rsidR="00873A0C" w:rsidRPr="002B53A8" w:rsidRDefault="00873A0C" w:rsidP="00873A0C">
      <w:pPr>
        <w:pStyle w:val="TAH"/>
        <w:jc w:val="left"/>
        <w:rPr>
          <w:rFonts w:ascii="Times New Roman" w:hAnsi="Times New Roman"/>
          <w:sz w:val="20"/>
          <w:highlight w:val="green"/>
          <w:lang w:eastAsia="en-GB"/>
        </w:rPr>
      </w:pPr>
    </w:p>
    <w:p w14:paraId="6360A6B8" w14:textId="77777777" w:rsidR="00873A0C" w:rsidRPr="002B53A8" w:rsidRDefault="00873A0C" w:rsidP="00873A0C">
      <w:pPr>
        <w:pStyle w:val="TAH"/>
        <w:jc w:val="left"/>
        <w:rPr>
          <w:rFonts w:ascii="Times New Roman" w:hAnsi="Times New Roman"/>
          <w:sz w:val="20"/>
          <w:highlight w:val="green"/>
          <w:lang w:eastAsia="en-GB"/>
        </w:rPr>
      </w:pPr>
    </w:p>
    <w:p w14:paraId="0DE8D9A2" w14:textId="2ACA4A58" w:rsidR="00873A0C" w:rsidRPr="002B53A8" w:rsidRDefault="00873A0C" w:rsidP="00873A0C">
      <w:pPr>
        <w:overflowPunct/>
        <w:autoSpaceDE/>
        <w:autoSpaceDN/>
        <w:adjustRightInd/>
        <w:spacing w:after="0"/>
        <w:rPr>
          <w:rFonts w:eastAsia="Times New Roman"/>
          <w:lang w:val="en-US" w:eastAsia="ko-KR"/>
        </w:rPr>
      </w:pPr>
      <w:r w:rsidRPr="002B53A8">
        <w:rPr>
          <w:rFonts w:eastAsia="Times New Roman"/>
          <w:lang w:eastAsia="ko-KR"/>
        </w:rPr>
        <w:t xml:space="preserve">It is worthwhile to study for neighbour cell hearability through TA improvement associated with neighbour cells. We observe that TA mis-alignment is one of the causes of poor hearability in neighbour cell side. Especially, NR systems can operate with various NR numerologies, there exist short OFDM symbols and short CP length. If TA values are not adjusted properly, UL hearability can be very poor despite </w:t>
      </w:r>
      <w:r w:rsidR="004516CD">
        <w:rPr>
          <w:rFonts w:eastAsia="Times New Roman"/>
          <w:lang w:eastAsia="ko-KR"/>
        </w:rPr>
        <w:t>best</w:t>
      </w:r>
      <w:r w:rsidRPr="002B53A8">
        <w:rPr>
          <w:rFonts w:eastAsia="Times New Roman"/>
          <w:lang w:eastAsia="ko-KR"/>
        </w:rPr>
        <w:t xml:space="preserve"> efforts. If two target UEs in Figure </w:t>
      </w:r>
      <w:r w:rsidR="0D7B47A2" w:rsidRPr="005373F3">
        <w:rPr>
          <w:rFonts w:eastAsia="Times New Roman"/>
          <w:lang w:eastAsia="ko-KR"/>
        </w:rPr>
        <w:t>1</w:t>
      </w:r>
      <w:r w:rsidRPr="002B53A8">
        <w:rPr>
          <w:rFonts w:eastAsia="Times New Roman"/>
          <w:lang w:eastAsia="ko-KR"/>
        </w:rPr>
        <w:t xml:space="preserve"> </w:t>
      </w:r>
      <w:proofErr w:type="gramStart"/>
      <w:r w:rsidR="00F621AC">
        <w:rPr>
          <w:rFonts w:eastAsia="Times New Roman"/>
          <w:lang w:eastAsia="ko-KR"/>
        </w:rPr>
        <w:t xml:space="preserve">are </w:t>
      </w:r>
      <w:r w:rsidRPr="002B53A8">
        <w:rPr>
          <w:rFonts w:eastAsia="Times New Roman"/>
          <w:lang w:eastAsia="ko-KR"/>
        </w:rPr>
        <w:t>locate</w:t>
      </w:r>
      <w:r w:rsidR="00F621AC">
        <w:rPr>
          <w:rFonts w:eastAsia="Times New Roman"/>
          <w:lang w:eastAsia="ko-KR"/>
        </w:rPr>
        <w:t>d</w:t>
      </w:r>
      <w:r w:rsidRPr="002B53A8">
        <w:rPr>
          <w:rFonts w:eastAsia="Times New Roman"/>
          <w:lang w:eastAsia="ko-KR"/>
        </w:rPr>
        <w:t xml:space="preserve"> in</w:t>
      </w:r>
      <w:proofErr w:type="gramEnd"/>
      <w:r w:rsidRPr="002B53A8">
        <w:rPr>
          <w:rFonts w:eastAsia="Times New Roman"/>
          <w:lang w:eastAsia="ko-KR"/>
        </w:rPr>
        <w:t xml:space="preserve"> distance farther than </w:t>
      </w:r>
      <w:r w:rsidR="00F621AC">
        <w:rPr>
          <w:rFonts w:eastAsia="Times New Roman"/>
          <w:lang w:eastAsia="ko-KR"/>
        </w:rPr>
        <w:t xml:space="preserve">the </w:t>
      </w:r>
      <w:r w:rsidRPr="002B53A8">
        <w:rPr>
          <w:rFonts w:eastAsia="Times New Roman"/>
          <w:lang w:eastAsia="ko-KR"/>
        </w:rPr>
        <w:t>values [m] listed in green in Table 1, their signals fall out of the CP length, then it</w:t>
      </w:r>
      <w:r w:rsidR="00F621AC">
        <w:rPr>
          <w:rFonts w:eastAsia="Times New Roman"/>
          <w:lang w:eastAsia="ko-KR"/>
        </w:rPr>
        <w:t xml:space="preserve"> will</w:t>
      </w:r>
      <w:r w:rsidRPr="002B53A8">
        <w:rPr>
          <w:rFonts w:eastAsia="Times New Roman"/>
          <w:lang w:eastAsia="ko-KR"/>
        </w:rPr>
        <w:t xml:space="preserve"> hurt signal quality proportional to inter-symbol interference due to the mis-alignment. If a serving cell controls timing targeting at the serving cell itself, more severe mis-alignment causes between the two UEs as Figure </w:t>
      </w:r>
      <w:r w:rsidR="0D7B47A2" w:rsidRPr="005373F3">
        <w:rPr>
          <w:rFonts w:eastAsia="Times New Roman"/>
          <w:lang w:eastAsia="ko-KR"/>
        </w:rPr>
        <w:t>1</w:t>
      </w:r>
      <w:r w:rsidRPr="002B53A8">
        <w:rPr>
          <w:rFonts w:eastAsia="Times New Roman"/>
          <w:lang w:eastAsia="ko-KR"/>
        </w:rPr>
        <w:t>. We think the Rel-15 SRS TA control process should be improved. </w:t>
      </w:r>
      <w:r w:rsidRPr="002B53A8">
        <w:rPr>
          <w:rFonts w:eastAsia="Times New Roman"/>
          <w:lang w:val="en-US" w:eastAsia="ko-KR"/>
        </w:rPr>
        <w:t> </w:t>
      </w:r>
    </w:p>
    <w:p w14:paraId="38F1C7D6" w14:textId="77777777" w:rsidR="00873A0C" w:rsidRPr="002B53A8" w:rsidRDefault="00873A0C" w:rsidP="00873A0C">
      <w:pPr>
        <w:overflowPunct/>
        <w:autoSpaceDE/>
        <w:autoSpaceDN/>
        <w:adjustRightInd/>
        <w:spacing w:after="0"/>
        <w:jc w:val="center"/>
        <w:rPr>
          <w:rFonts w:eastAsia="Times New Roman"/>
          <w:lang w:val="en-US" w:eastAsia="ko-KR"/>
        </w:rPr>
      </w:pPr>
      <w:r w:rsidRPr="002B53A8">
        <w:rPr>
          <w:noProof/>
        </w:rPr>
        <w:drawing>
          <wp:inline distT="0" distB="0" distL="0" distR="0" wp14:anchorId="786AF5B6" wp14:editId="3A614333">
            <wp:extent cx="5752465" cy="1379855"/>
            <wp:effectExtent l="0" t="0" r="0" b="0"/>
            <wp:docPr id="1" name="Picture 1" descr="C:\Users\dayoon\AppData\Local\Microsoft\Windows\INetCache\Content.MSO\10AEB7B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yoon\AppData\Local\Microsoft\Windows\INetCache\Content.MSO\10AEB7BA.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2465" cy="1379855"/>
                    </a:xfrm>
                    <a:prstGeom prst="rect">
                      <a:avLst/>
                    </a:prstGeom>
                    <a:noFill/>
                    <a:ln>
                      <a:noFill/>
                    </a:ln>
                  </pic:spPr>
                </pic:pic>
              </a:graphicData>
            </a:graphic>
          </wp:inline>
        </w:drawing>
      </w:r>
      <w:r w:rsidRPr="002B53A8">
        <w:rPr>
          <w:rFonts w:eastAsia="Times New Roman"/>
          <w:lang w:val="en-US" w:eastAsia="ko-KR"/>
        </w:rPr>
        <w:t> </w:t>
      </w:r>
    </w:p>
    <w:p w14:paraId="2E8C281F" w14:textId="156485C0" w:rsidR="00873A0C" w:rsidRPr="002B53A8" w:rsidRDefault="00873A0C" w:rsidP="00873A0C">
      <w:pPr>
        <w:overflowPunct/>
        <w:autoSpaceDE/>
        <w:autoSpaceDN/>
        <w:adjustRightInd/>
        <w:spacing w:after="0"/>
        <w:jc w:val="center"/>
        <w:rPr>
          <w:rFonts w:eastAsia="Times New Roman"/>
          <w:lang w:val="en-US" w:eastAsia="ko-KR"/>
        </w:rPr>
      </w:pPr>
      <w:r w:rsidRPr="002B53A8">
        <w:rPr>
          <w:rFonts w:eastAsia="Times New Roman"/>
          <w:b/>
          <w:bCs/>
          <w:lang w:eastAsia="ko-KR"/>
        </w:rPr>
        <w:t xml:space="preserve">Figure </w:t>
      </w:r>
      <w:r w:rsidR="0D7B47A2" w:rsidRPr="002B53A8">
        <w:rPr>
          <w:rFonts w:eastAsia="Times New Roman"/>
          <w:b/>
          <w:bCs/>
          <w:lang w:eastAsia="ko-KR"/>
        </w:rPr>
        <w:t>1</w:t>
      </w:r>
      <w:r w:rsidRPr="002B53A8">
        <w:rPr>
          <w:rFonts w:eastAsia="Times New Roman"/>
          <w:lang w:eastAsia="ko-KR"/>
        </w:rPr>
        <w:t>: Neighbour cell hearability issue due to TA misalignment and power control </w:t>
      </w:r>
      <w:r w:rsidRPr="002B53A8">
        <w:rPr>
          <w:rFonts w:eastAsia="Times New Roman"/>
          <w:lang w:val="en-US" w:eastAsia="ko-KR"/>
        </w:rPr>
        <w:t> </w:t>
      </w:r>
      <w:r w:rsidRPr="002B53A8">
        <w:rPr>
          <w:rFonts w:eastAsia="Times New Roman"/>
          <w:lang w:val="en-US" w:eastAsia="ko-KR"/>
        </w:rPr>
        <w:br/>
      </w:r>
      <w:r w:rsidRPr="002B53A8">
        <w:rPr>
          <w:rFonts w:eastAsia="Times New Roman"/>
          <w:lang w:eastAsia="ko-KR"/>
        </w:rPr>
        <w:t>targeting at serving cell</w:t>
      </w:r>
      <w:r w:rsidRPr="002B53A8">
        <w:rPr>
          <w:rFonts w:eastAsia="Times New Roman"/>
          <w:lang w:val="en-US" w:eastAsia="ko-KR"/>
        </w:rPr>
        <w:t> </w:t>
      </w:r>
    </w:p>
    <w:p w14:paraId="51EBFCC3" w14:textId="77777777" w:rsidR="00873A0C" w:rsidRPr="002B53A8" w:rsidRDefault="00873A0C" w:rsidP="00873A0C">
      <w:pPr>
        <w:overflowPunct/>
        <w:autoSpaceDE/>
        <w:autoSpaceDN/>
        <w:adjustRightInd/>
        <w:spacing w:after="0"/>
        <w:jc w:val="center"/>
        <w:rPr>
          <w:rFonts w:eastAsia="Times New Roman"/>
          <w:lang w:val="en-US" w:eastAsia="ko-KR"/>
        </w:rPr>
      </w:pPr>
    </w:p>
    <w:p w14:paraId="654C93F6" w14:textId="77777777" w:rsidR="00873A0C" w:rsidRPr="002B53A8" w:rsidRDefault="00873A0C" w:rsidP="00873A0C">
      <w:pPr>
        <w:overflowPunct/>
        <w:autoSpaceDE/>
        <w:autoSpaceDN/>
        <w:adjustRightInd/>
        <w:spacing w:after="0"/>
        <w:jc w:val="center"/>
        <w:rPr>
          <w:rFonts w:eastAsia="Times New Roman"/>
          <w:lang w:val="en-US" w:eastAsia="ko-KR"/>
        </w:rPr>
      </w:pPr>
      <w:r w:rsidRPr="002B53A8">
        <w:rPr>
          <w:rFonts w:eastAsia="Times New Roman"/>
          <w:b/>
          <w:bCs/>
          <w:lang w:eastAsia="ko-KR"/>
        </w:rPr>
        <w:t>Table 1</w:t>
      </w:r>
      <w:r w:rsidRPr="002B53A8">
        <w:rPr>
          <w:rFonts w:eastAsia="Times New Roman"/>
          <w:lang w:eastAsia="ko-KR"/>
        </w:rPr>
        <w:t>: TA misalignment range within CP: If two target UEs locates in distance farther than values [m] listed in green, their signals falls out of CP length.</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15"/>
        <w:gridCol w:w="1620"/>
        <w:gridCol w:w="1275"/>
        <w:gridCol w:w="1830"/>
        <w:gridCol w:w="1410"/>
        <w:gridCol w:w="1410"/>
      </w:tblGrid>
      <w:tr w:rsidR="00873A0C" w:rsidRPr="00FC4710" w14:paraId="57FD7828" w14:textId="77777777" w:rsidTr="00873A0C">
        <w:trPr>
          <w:trHeight w:val="870"/>
          <w:jc w:val="center"/>
        </w:trPr>
        <w:tc>
          <w:tcPr>
            <w:tcW w:w="915" w:type="dxa"/>
            <w:tcBorders>
              <w:top w:val="single" w:sz="6" w:space="0" w:color="auto"/>
              <w:left w:val="single" w:sz="6" w:space="0" w:color="auto"/>
              <w:bottom w:val="single" w:sz="6" w:space="0" w:color="auto"/>
              <w:right w:val="single" w:sz="6" w:space="0" w:color="auto"/>
            </w:tcBorders>
            <w:shd w:val="clear" w:color="auto" w:fill="D9E1F2"/>
            <w:vAlign w:val="center"/>
            <w:hideMark/>
          </w:tcPr>
          <w:p w14:paraId="45D53D60" w14:textId="77777777" w:rsidR="00873A0C" w:rsidRPr="002B53A8" w:rsidRDefault="00873A0C" w:rsidP="00873A0C">
            <w:pPr>
              <w:overflowPunct/>
              <w:autoSpaceDE/>
              <w:autoSpaceDN/>
              <w:adjustRightInd/>
              <w:spacing w:after="0"/>
              <w:jc w:val="center"/>
              <w:rPr>
                <w:rFonts w:eastAsia="Times New Roman"/>
                <w:lang w:val="en-US" w:eastAsia="ko-KR"/>
              </w:rPr>
            </w:pPr>
            <w:r w:rsidRPr="002B53A8">
              <w:rPr>
                <w:rFonts w:eastAsia="Times New Roman"/>
                <w:color w:val="000000"/>
                <w:lang w:val="en-US" w:eastAsia="ko-KR"/>
              </w:rPr>
              <w:t>SCS [</w:t>
            </w:r>
            <w:proofErr w:type="spellStart"/>
            <w:r w:rsidRPr="002B53A8">
              <w:rPr>
                <w:rFonts w:eastAsia="Times New Roman"/>
                <w:color w:val="000000"/>
                <w:lang w:val="en-US" w:eastAsia="ko-KR"/>
              </w:rPr>
              <w:t>KHz</w:t>
            </w:r>
            <w:proofErr w:type="spellEnd"/>
            <w:r w:rsidRPr="002B53A8">
              <w:rPr>
                <w:rFonts w:eastAsia="Times New Roman"/>
                <w:color w:val="000000"/>
                <w:lang w:val="en-US" w:eastAsia="ko-KR"/>
              </w:rPr>
              <w:t>]</w:t>
            </w:r>
          </w:p>
        </w:tc>
        <w:tc>
          <w:tcPr>
            <w:tcW w:w="1620" w:type="dxa"/>
            <w:tcBorders>
              <w:top w:val="single" w:sz="6" w:space="0" w:color="auto"/>
              <w:left w:val="nil"/>
              <w:bottom w:val="single" w:sz="6" w:space="0" w:color="auto"/>
              <w:right w:val="single" w:sz="6" w:space="0" w:color="auto"/>
            </w:tcBorders>
            <w:shd w:val="clear" w:color="auto" w:fill="D9E1F2"/>
            <w:vAlign w:val="center"/>
            <w:hideMark/>
          </w:tcPr>
          <w:p w14:paraId="20A07321" w14:textId="77777777" w:rsidR="00873A0C" w:rsidRPr="002B53A8" w:rsidRDefault="00873A0C" w:rsidP="00873A0C">
            <w:pPr>
              <w:overflowPunct/>
              <w:autoSpaceDE/>
              <w:autoSpaceDN/>
              <w:adjustRightInd/>
              <w:spacing w:after="0"/>
              <w:jc w:val="center"/>
              <w:rPr>
                <w:rFonts w:eastAsia="Times New Roman"/>
                <w:lang w:val="en-US" w:eastAsia="ko-KR"/>
              </w:rPr>
            </w:pPr>
            <w:r w:rsidRPr="002B53A8">
              <w:rPr>
                <w:rFonts w:eastAsia="Times New Roman"/>
                <w:color w:val="000000"/>
                <w:lang w:val="en-US" w:eastAsia="ko-KR"/>
              </w:rPr>
              <w:t>OFDM symbol </w:t>
            </w:r>
            <w:r w:rsidRPr="002B53A8">
              <w:rPr>
                <w:rFonts w:eastAsia="Times New Roman"/>
                <w:lang w:val="en-US" w:eastAsia="ko-KR"/>
              </w:rPr>
              <w:t> </w:t>
            </w:r>
            <w:r w:rsidRPr="002B53A8">
              <w:rPr>
                <w:rFonts w:eastAsia="Times New Roman"/>
                <w:lang w:val="en-US" w:eastAsia="ko-KR"/>
              </w:rPr>
              <w:br/>
            </w:r>
            <w:r w:rsidRPr="002B53A8">
              <w:rPr>
                <w:rFonts w:eastAsia="Times New Roman"/>
                <w:color w:val="000000"/>
                <w:lang w:val="en-US" w:eastAsia="ko-KR"/>
              </w:rPr>
              <w:t>duration [us]</w:t>
            </w:r>
          </w:p>
          <w:p w14:paraId="466D7801" w14:textId="77777777" w:rsidR="00873A0C" w:rsidRPr="002B53A8" w:rsidRDefault="00873A0C" w:rsidP="00873A0C">
            <w:pPr>
              <w:overflowPunct/>
              <w:autoSpaceDE/>
              <w:autoSpaceDN/>
              <w:adjustRightInd/>
              <w:spacing w:after="0"/>
              <w:jc w:val="center"/>
              <w:rPr>
                <w:rFonts w:eastAsia="Times New Roman"/>
                <w:lang w:val="en-US" w:eastAsia="ko-KR"/>
              </w:rPr>
            </w:pPr>
            <w:r w:rsidRPr="002B53A8">
              <w:rPr>
                <w:rFonts w:eastAsia="Times New Roman"/>
                <w:color w:val="000000"/>
                <w:lang w:val="en-US" w:eastAsia="ko-KR"/>
              </w:rPr>
              <w:t>(excluding CP)</w:t>
            </w:r>
          </w:p>
        </w:tc>
        <w:tc>
          <w:tcPr>
            <w:tcW w:w="1275" w:type="dxa"/>
            <w:tcBorders>
              <w:top w:val="single" w:sz="6" w:space="0" w:color="auto"/>
              <w:left w:val="nil"/>
              <w:bottom w:val="single" w:sz="6" w:space="0" w:color="auto"/>
              <w:right w:val="single" w:sz="6" w:space="0" w:color="auto"/>
            </w:tcBorders>
            <w:shd w:val="clear" w:color="auto" w:fill="D9E1F2"/>
            <w:vAlign w:val="center"/>
            <w:hideMark/>
          </w:tcPr>
          <w:p w14:paraId="70A18EFC" w14:textId="77777777" w:rsidR="00873A0C" w:rsidRPr="002B53A8" w:rsidRDefault="00873A0C" w:rsidP="00873A0C">
            <w:pPr>
              <w:overflowPunct/>
              <w:autoSpaceDE/>
              <w:autoSpaceDN/>
              <w:adjustRightInd/>
              <w:spacing w:after="0"/>
              <w:jc w:val="center"/>
              <w:rPr>
                <w:rFonts w:eastAsia="Times New Roman"/>
                <w:lang w:val="en-US" w:eastAsia="ko-KR"/>
              </w:rPr>
            </w:pPr>
            <w:r w:rsidRPr="002B53A8">
              <w:rPr>
                <w:rFonts w:eastAsia="Times New Roman"/>
                <w:color w:val="000000"/>
                <w:lang w:val="en-US" w:eastAsia="ko-KR"/>
              </w:rPr>
              <w:t>Normal CP length </w:t>
            </w:r>
            <w:r w:rsidRPr="002B53A8">
              <w:rPr>
                <w:rFonts w:eastAsia="Times New Roman"/>
                <w:lang w:val="en-US" w:eastAsia="ko-KR"/>
              </w:rPr>
              <w:t> </w:t>
            </w:r>
            <w:r w:rsidRPr="002B53A8">
              <w:rPr>
                <w:rFonts w:eastAsia="Times New Roman"/>
                <w:lang w:val="en-US" w:eastAsia="ko-KR"/>
              </w:rPr>
              <w:br/>
            </w:r>
            <w:r w:rsidRPr="002B53A8">
              <w:rPr>
                <w:rFonts w:eastAsia="Times New Roman"/>
                <w:color w:val="000000"/>
                <w:lang w:val="en-US" w:eastAsia="ko-KR"/>
              </w:rPr>
              <w:t>[us]</w:t>
            </w:r>
          </w:p>
        </w:tc>
        <w:tc>
          <w:tcPr>
            <w:tcW w:w="1830" w:type="dxa"/>
            <w:tcBorders>
              <w:top w:val="single" w:sz="6" w:space="0" w:color="auto"/>
              <w:left w:val="nil"/>
              <w:bottom w:val="single" w:sz="6" w:space="0" w:color="auto"/>
              <w:right w:val="nil"/>
            </w:tcBorders>
            <w:shd w:val="clear" w:color="auto" w:fill="92D050"/>
            <w:vAlign w:val="center"/>
            <w:hideMark/>
          </w:tcPr>
          <w:p w14:paraId="00F74479" w14:textId="77777777" w:rsidR="00873A0C" w:rsidRPr="002B53A8" w:rsidRDefault="00873A0C" w:rsidP="00873A0C">
            <w:pPr>
              <w:overflowPunct/>
              <w:autoSpaceDE/>
              <w:autoSpaceDN/>
              <w:adjustRightInd/>
              <w:spacing w:after="0"/>
              <w:jc w:val="center"/>
              <w:rPr>
                <w:rFonts w:eastAsia="Times New Roman"/>
                <w:lang w:val="en-US" w:eastAsia="ko-KR"/>
              </w:rPr>
            </w:pPr>
            <w:r w:rsidRPr="002B53A8">
              <w:rPr>
                <w:rFonts w:eastAsia="Times New Roman"/>
                <w:b/>
                <w:bCs/>
                <w:color w:val="000000"/>
                <w:lang w:val="en-US" w:eastAsia="ko-KR"/>
              </w:rPr>
              <w:t>Distance [m]</w:t>
            </w:r>
            <w:r w:rsidRPr="002B53A8">
              <w:rPr>
                <w:rFonts w:eastAsia="Times New Roman"/>
                <w:lang w:val="en-US" w:eastAsia="ko-KR"/>
              </w:rPr>
              <w:t> </w:t>
            </w:r>
            <w:r w:rsidRPr="002B53A8">
              <w:rPr>
                <w:rFonts w:eastAsia="Times New Roman"/>
                <w:lang w:val="en-US" w:eastAsia="ko-KR"/>
              </w:rPr>
              <w:br/>
            </w:r>
            <w:r w:rsidRPr="002B53A8">
              <w:rPr>
                <w:rFonts w:eastAsia="Times New Roman"/>
                <w:b/>
                <w:bCs/>
                <w:color w:val="000000"/>
                <w:lang w:val="en-US" w:eastAsia="ko-KR"/>
              </w:rPr>
              <w:t>covered by normal CP</w:t>
            </w:r>
          </w:p>
        </w:tc>
        <w:tc>
          <w:tcPr>
            <w:tcW w:w="1410" w:type="dxa"/>
            <w:tcBorders>
              <w:top w:val="single" w:sz="6" w:space="0" w:color="auto"/>
              <w:left w:val="single" w:sz="6" w:space="0" w:color="auto"/>
              <w:bottom w:val="single" w:sz="6" w:space="0" w:color="auto"/>
              <w:right w:val="single" w:sz="6" w:space="0" w:color="auto"/>
            </w:tcBorders>
            <w:shd w:val="clear" w:color="auto" w:fill="D9E1F2"/>
            <w:vAlign w:val="center"/>
            <w:hideMark/>
          </w:tcPr>
          <w:p w14:paraId="290A913A" w14:textId="77777777" w:rsidR="00873A0C" w:rsidRPr="002B53A8" w:rsidRDefault="00873A0C" w:rsidP="00873A0C">
            <w:pPr>
              <w:overflowPunct/>
              <w:autoSpaceDE/>
              <w:autoSpaceDN/>
              <w:adjustRightInd/>
              <w:spacing w:after="0"/>
              <w:jc w:val="center"/>
              <w:rPr>
                <w:rFonts w:eastAsia="Times New Roman"/>
                <w:lang w:val="en-US" w:eastAsia="ko-KR"/>
              </w:rPr>
            </w:pPr>
            <w:r w:rsidRPr="002B53A8">
              <w:rPr>
                <w:rFonts w:eastAsia="Times New Roman"/>
                <w:color w:val="000000"/>
                <w:lang w:val="en-US" w:eastAsia="ko-KR"/>
              </w:rPr>
              <w:t>Long CP length </w:t>
            </w:r>
            <w:r w:rsidRPr="002B53A8">
              <w:rPr>
                <w:rFonts w:eastAsia="Times New Roman"/>
                <w:lang w:val="en-US" w:eastAsia="ko-KR"/>
              </w:rPr>
              <w:t> </w:t>
            </w:r>
            <w:r w:rsidRPr="002B53A8">
              <w:rPr>
                <w:rFonts w:eastAsia="Times New Roman"/>
                <w:lang w:val="en-US" w:eastAsia="ko-KR"/>
              </w:rPr>
              <w:br/>
            </w:r>
            <w:r w:rsidRPr="002B53A8">
              <w:rPr>
                <w:rFonts w:eastAsia="Times New Roman"/>
                <w:color w:val="000000"/>
                <w:lang w:val="en-US" w:eastAsia="ko-KR"/>
              </w:rPr>
              <w:t>[us]</w:t>
            </w:r>
          </w:p>
        </w:tc>
        <w:tc>
          <w:tcPr>
            <w:tcW w:w="1410" w:type="dxa"/>
            <w:tcBorders>
              <w:top w:val="single" w:sz="6" w:space="0" w:color="auto"/>
              <w:left w:val="nil"/>
              <w:bottom w:val="single" w:sz="6" w:space="0" w:color="auto"/>
              <w:right w:val="single" w:sz="6" w:space="0" w:color="auto"/>
            </w:tcBorders>
            <w:shd w:val="clear" w:color="auto" w:fill="92D050"/>
            <w:vAlign w:val="center"/>
            <w:hideMark/>
          </w:tcPr>
          <w:p w14:paraId="15722B8D" w14:textId="77777777" w:rsidR="00873A0C" w:rsidRPr="002B53A8" w:rsidRDefault="00873A0C" w:rsidP="00873A0C">
            <w:pPr>
              <w:overflowPunct/>
              <w:autoSpaceDE/>
              <w:autoSpaceDN/>
              <w:adjustRightInd/>
              <w:spacing w:after="0"/>
              <w:jc w:val="center"/>
              <w:rPr>
                <w:rFonts w:eastAsia="Times New Roman"/>
                <w:lang w:val="en-US" w:eastAsia="ko-KR"/>
              </w:rPr>
            </w:pPr>
            <w:r w:rsidRPr="002B53A8">
              <w:rPr>
                <w:rFonts w:eastAsia="Times New Roman"/>
                <w:b/>
                <w:bCs/>
                <w:color w:val="000000"/>
                <w:lang w:val="en-US" w:eastAsia="ko-KR"/>
              </w:rPr>
              <w:t>Distance [m]</w:t>
            </w:r>
            <w:r w:rsidRPr="002B53A8">
              <w:rPr>
                <w:rFonts w:eastAsia="Times New Roman"/>
                <w:lang w:val="en-US" w:eastAsia="ko-KR"/>
              </w:rPr>
              <w:t> </w:t>
            </w:r>
            <w:r w:rsidRPr="002B53A8">
              <w:rPr>
                <w:rFonts w:eastAsia="Times New Roman"/>
                <w:lang w:val="en-US" w:eastAsia="ko-KR"/>
              </w:rPr>
              <w:br/>
            </w:r>
            <w:r w:rsidRPr="002B53A8">
              <w:rPr>
                <w:rFonts w:eastAsia="Times New Roman"/>
                <w:b/>
                <w:bCs/>
                <w:color w:val="000000"/>
                <w:lang w:val="en-US" w:eastAsia="ko-KR"/>
              </w:rPr>
              <w:t>covered by long CP</w:t>
            </w:r>
          </w:p>
        </w:tc>
      </w:tr>
      <w:tr w:rsidR="00873A0C" w:rsidRPr="00FC4710" w14:paraId="5E2CC7C3" w14:textId="77777777" w:rsidTr="00873A0C">
        <w:trPr>
          <w:trHeight w:val="285"/>
          <w:jc w:val="center"/>
        </w:trPr>
        <w:tc>
          <w:tcPr>
            <w:tcW w:w="915" w:type="dxa"/>
            <w:tcBorders>
              <w:top w:val="nil"/>
              <w:left w:val="single" w:sz="6" w:space="0" w:color="auto"/>
              <w:bottom w:val="single" w:sz="6" w:space="0" w:color="auto"/>
              <w:right w:val="single" w:sz="6" w:space="0" w:color="auto"/>
            </w:tcBorders>
            <w:shd w:val="clear" w:color="auto" w:fill="auto"/>
            <w:vAlign w:val="bottom"/>
            <w:hideMark/>
          </w:tcPr>
          <w:p w14:paraId="31F77401" w14:textId="77777777" w:rsidR="00873A0C" w:rsidRPr="002B53A8" w:rsidRDefault="00873A0C" w:rsidP="00873A0C">
            <w:pPr>
              <w:overflowPunct/>
              <w:autoSpaceDE/>
              <w:autoSpaceDN/>
              <w:adjustRightInd/>
              <w:spacing w:after="0"/>
              <w:jc w:val="center"/>
              <w:rPr>
                <w:rFonts w:eastAsia="Times New Roman"/>
                <w:lang w:val="en-US" w:eastAsia="ko-KR"/>
              </w:rPr>
            </w:pPr>
            <w:r w:rsidRPr="002B53A8">
              <w:rPr>
                <w:rFonts w:eastAsia="Times New Roman"/>
                <w:color w:val="000000"/>
                <w:lang w:val="en-US" w:eastAsia="ko-KR"/>
              </w:rPr>
              <w:t>240</w:t>
            </w:r>
          </w:p>
        </w:tc>
        <w:tc>
          <w:tcPr>
            <w:tcW w:w="1620" w:type="dxa"/>
            <w:tcBorders>
              <w:top w:val="nil"/>
              <w:left w:val="nil"/>
              <w:bottom w:val="single" w:sz="6" w:space="0" w:color="auto"/>
              <w:right w:val="single" w:sz="6" w:space="0" w:color="auto"/>
            </w:tcBorders>
            <w:shd w:val="clear" w:color="auto" w:fill="auto"/>
            <w:vAlign w:val="bottom"/>
            <w:hideMark/>
          </w:tcPr>
          <w:p w14:paraId="7D2A27DF" w14:textId="77777777" w:rsidR="00873A0C" w:rsidRPr="002B53A8" w:rsidRDefault="00873A0C" w:rsidP="00873A0C">
            <w:pPr>
              <w:overflowPunct/>
              <w:autoSpaceDE/>
              <w:autoSpaceDN/>
              <w:adjustRightInd/>
              <w:spacing w:after="0"/>
              <w:jc w:val="center"/>
              <w:rPr>
                <w:rFonts w:eastAsia="Times New Roman"/>
                <w:lang w:val="en-US" w:eastAsia="ko-KR"/>
              </w:rPr>
            </w:pPr>
            <w:r w:rsidRPr="002B53A8">
              <w:rPr>
                <w:rFonts w:eastAsia="Times New Roman"/>
                <w:color w:val="000000"/>
                <w:lang w:val="en-US" w:eastAsia="ko-KR"/>
              </w:rPr>
              <w:t>4.17</w:t>
            </w:r>
          </w:p>
        </w:tc>
        <w:tc>
          <w:tcPr>
            <w:tcW w:w="1275" w:type="dxa"/>
            <w:tcBorders>
              <w:top w:val="nil"/>
              <w:left w:val="nil"/>
              <w:bottom w:val="single" w:sz="6" w:space="0" w:color="auto"/>
              <w:right w:val="single" w:sz="6" w:space="0" w:color="auto"/>
            </w:tcBorders>
            <w:shd w:val="clear" w:color="auto" w:fill="auto"/>
            <w:vAlign w:val="bottom"/>
            <w:hideMark/>
          </w:tcPr>
          <w:p w14:paraId="55488A39" w14:textId="77777777" w:rsidR="00873A0C" w:rsidRPr="002B53A8" w:rsidRDefault="00873A0C" w:rsidP="00873A0C">
            <w:pPr>
              <w:overflowPunct/>
              <w:autoSpaceDE/>
              <w:autoSpaceDN/>
              <w:adjustRightInd/>
              <w:spacing w:after="0"/>
              <w:jc w:val="center"/>
              <w:rPr>
                <w:rFonts w:eastAsia="Times New Roman"/>
                <w:lang w:val="en-US" w:eastAsia="ko-KR"/>
              </w:rPr>
            </w:pPr>
            <w:r w:rsidRPr="002B53A8">
              <w:rPr>
                <w:rFonts w:eastAsia="Times New Roman"/>
                <w:color w:val="000000"/>
                <w:lang w:val="en-US" w:eastAsia="ko-KR"/>
              </w:rPr>
              <w:t>0.288</w:t>
            </w:r>
          </w:p>
        </w:tc>
        <w:tc>
          <w:tcPr>
            <w:tcW w:w="1830" w:type="dxa"/>
            <w:tcBorders>
              <w:top w:val="nil"/>
              <w:left w:val="nil"/>
              <w:bottom w:val="single" w:sz="6" w:space="0" w:color="auto"/>
              <w:right w:val="nil"/>
            </w:tcBorders>
            <w:shd w:val="clear" w:color="auto" w:fill="auto"/>
            <w:vAlign w:val="bottom"/>
            <w:hideMark/>
          </w:tcPr>
          <w:p w14:paraId="5AEBA26B" w14:textId="77777777" w:rsidR="00873A0C" w:rsidRPr="002B53A8" w:rsidRDefault="00873A0C" w:rsidP="00873A0C">
            <w:pPr>
              <w:overflowPunct/>
              <w:autoSpaceDE/>
              <w:autoSpaceDN/>
              <w:adjustRightInd/>
              <w:spacing w:after="0"/>
              <w:jc w:val="center"/>
              <w:rPr>
                <w:rFonts w:eastAsia="Times New Roman"/>
                <w:lang w:val="en-US" w:eastAsia="ko-KR"/>
              </w:rPr>
            </w:pPr>
            <w:r w:rsidRPr="002B53A8">
              <w:rPr>
                <w:rFonts w:eastAsia="Times New Roman"/>
                <w:b/>
                <w:bCs/>
                <w:color w:val="000000"/>
                <w:lang w:val="en-US" w:eastAsia="ko-KR"/>
              </w:rPr>
              <w:t>86.4</w:t>
            </w:r>
          </w:p>
        </w:tc>
        <w:tc>
          <w:tcPr>
            <w:tcW w:w="1410" w:type="dxa"/>
            <w:tcBorders>
              <w:top w:val="nil"/>
              <w:left w:val="single" w:sz="6" w:space="0" w:color="auto"/>
              <w:bottom w:val="single" w:sz="6" w:space="0" w:color="auto"/>
              <w:right w:val="single" w:sz="6" w:space="0" w:color="auto"/>
            </w:tcBorders>
            <w:shd w:val="clear" w:color="auto" w:fill="auto"/>
            <w:vAlign w:val="bottom"/>
            <w:hideMark/>
          </w:tcPr>
          <w:p w14:paraId="1CC2CA6D" w14:textId="77777777" w:rsidR="00873A0C" w:rsidRPr="002B53A8" w:rsidRDefault="00873A0C" w:rsidP="00873A0C">
            <w:pPr>
              <w:overflowPunct/>
              <w:autoSpaceDE/>
              <w:autoSpaceDN/>
              <w:adjustRightInd/>
              <w:spacing w:after="0"/>
              <w:jc w:val="center"/>
              <w:rPr>
                <w:rFonts w:eastAsia="Times New Roman"/>
                <w:lang w:val="en-US" w:eastAsia="ko-KR"/>
              </w:rPr>
            </w:pPr>
            <w:r w:rsidRPr="002B53A8">
              <w:rPr>
                <w:rFonts w:eastAsia="Times New Roman"/>
                <w:color w:val="000000"/>
                <w:lang w:val="en-US" w:eastAsia="ko-KR"/>
              </w:rPr>
              <w:t>N/A</w:t>
            </w:r>
          </w:p>
        </w:tc>
        <w:tc>
          <w:tcPr>
            <w:tcW w:w="1410" w:type="dxa"/>
            <w:tcBorders>
              <w:top w:val="nil"/>
              <w:left w:val="nil"/>
              <w:bottom w:val="single" w:sz="6" w:space="0" w:color="auto"/>
              <w:right w:val="single" w:sz="6" w:space="0" w:color="auto"/>
            </w:tcBorders>
            <w:shd w:val="clear" w:color="auto" w:fill="auto"/>
            <w:vAlign w:val="bottom"/>
            <w:hideMark/>
          </w:tcPr>
          <w:p w14:paraId="77DC6C1F" w14:textId="77777777" w:rsidR="00873A0C" w:rsidRPr="002B53A8" w:rsidRDefault="00873A0C" w:rsidP="00873A0C">
            <w:pPr>
              <w:overflowPunct/>
              <w:autoSpaceDE/>
              <w:autoSpaceDN/>
              <w:adjustRightInd/>
              <w:spacing w:after="0"/>
              <w:jc w:val="center"/>
              <w:rPr>
                <w:rFonts w:eastAsia="Times New Roman"/>
                <w:lang w:val="en-US" w:eastAsia="ko-KR"/>
              </w:rPr>
            </w:pPr>
            <w:r w:rsidRPr="002B53A8">
              <w:rPr>
                <w:rFonts w:eastAsia="Times New Roman"/>
                <w:b/>
                <w:bCs/>
                <w:color w:val="000000"/>
                <w:lang w:val="en-US" w:eastAsia="ko-KR"/>
              </w:rPr>
              <w:t>N/A</w:t>
            </w:r>
          </w:p>
        </w:tc>
      </w:tr>
      <w:tr w:rsidR="00873A0C" w:rsidRPr="00FC4710" w14:paraId="32F36348" w14:textId="77777777" w:rsidTr="00873A0C">
        <w:trPr>
          <w:trHeight w:val="285"/>
          <w:jc w:val="center"/>
        </w:trPr>
        <w:tc>
          <w:tcPr>
            <w:tcW w:w="915" w:type="dxa"/>
            <w:tcBorders>
              <w:top w:val="nil"/>
              <w:left w:val="single" w:sz="6" w:space="0" w:color="auto"/>
              <w:bottom w:val="single" w:sz="6" w:space="0" w:color="auto"/>
              <w:right w:val="single" w:sz="6" w:space="0" w:color="auto"/>
            </w:tcBorders>
            <w:shd w:val="clear" w:color="auto" w:fill="auto"/>
            <w:vAlign w:val="bottom"/>
            <w:hideMark/>
          </w:tcPr>
          <w:p w14:paraId="76F87042" w14:textId="77777777" w:rsidR="00873A0C" w:rsidRPr="002B53A8" w:rsidRDefault="00873A0C" w:rsidP="00873A0C">
            <w:pPr>
              <w:overflowPunct/>
              <w:autoSpaceDE/>
              <w:autoSpaceDN/>
              <w:adjustRightInd/>
              <w:spacing w:after="0"/>
              <w:jc w:val="center"/>
              <w:rPr>
                <w:rFonts w:eastAsia="Times New Roman"/>
                <w:lang w:val="en-US" w:eastAsia="ko-KR"/>
              </w:rPr>
            </w:pPr>
            <w:r w:rsidRPr="002B53A8">
              <w:rPr>
                <w:rFonts w:eastAsia="Times New Roman"/>
                <w:color w:val="000000"/>
                <w:lang w:val="en-US" w:eastAsia="ko-KR"/>
              </w:rPr>
              <w:t>120</w:t>
            </w:r>
          </w:p>
        </w:tc>
        <w:tc>
          <w:tcPr>
            <w:tcW w:w="1620" w:type="dxa"/>
            <w:tcBorders>
              <w:top w:val="nil"/>
              <w:left w:val="nil"/>
              <w:bottom w:val="single" w:sz="6" w:space="0" w:color="auto"/>
              <w:right w:val="single" w:sz="6" w:space="0" w:color="auto"/>
            </w:tcBorders>
            <w:shd w:val="clear" w:color="auto" w:fill="auto"/>
            <w:vAlign w:val="bottom"/>
            <w:hideMark/>
          </w:tcPr>
          <w:p w14:paraId="33F78DD0" w14:textId="77777777" w:rsidR="00873A0C" w:rsidRPr="002B53A8" w:rsidRDefault="00873A0C" w:rsidP="00873A0C">
            <w:pPr>
              <w:overflowPunct/>
              <w:autoSpaceDE/>
              <w:autoSpaceDN/>
              <w:adjustRightInd/>
              <w:spacing w:after="0"/>
              <w:jc w:val="center"/>
              <w:rPr>
                <w:rFonts w:eastAsia="Times New Roman"/>
                <w:lang w:val="en-US" w:eastAsia="ko-KR"/>
              </w:rPr>
            </w:pPr>
            <w:r w:rsidRPr="002B53A8">
              <w:rPr>
                <w:rFonts w:eastAsia="Times New Roman"/>
                <w:color w:val="000000"/>
                <w:lang w:val="en-US" w:eastAsia="ko-KR"/>
              </w:rPr>
              <w:t>8.33</w:t>
            </w:r>
          </w:p>
        </w:tc>
        <w:tc>
          <w:tcPr>
            <w:tcW w:w="1275" w:type="dxa"/>
            <w:tcBorders>
              <w:top w:val="nil"/>
              <w:left w:val="nil"/>
              <w:bottom w:val="single" w:sz="6" w:space="0" w:color="auto"/>
              <w:right w:val="single" w:sz="6" w:space="0" w:color="auto"/>
            </w:tcBorders>
            <w:shd w:val="clear" w:color="auto" w:fill="auto"/>
            <w:vAlign w:val="bottom"/>
            <w:hideMark/>
          </w:tcPr>
          <w:p w14:paraId="3B082587" w14:textId="77777777" w:rsidR="00873A0C" w:rsidRPr="002B53A8" w:rsidRDefault="00873A0C" w:rsidP="00873A0C">
            <w:pPr>
              <w:overflowPunct/>
              <w:autoSpaceDE/>
              <w:autoSpaceDN/>
              <w:adjustRightInd/>
              <w:spacing w:after="0"/>
              <w:jc w:val="center"/>
              <w:rPr>
                <w:rFonts w:eastAsia="Times New Roman"/>
                <w:lang w:val="en-US" w:eastAsia="ko-KR"/>
              </w:rPr>
            </w:pPr>
            <w:r w:rsidRPr="002B53A8">
              <w:rPr>
                <w:rFonts w:eastAsia="Times New Roman"/>
                <w:color w:val="000000"/>
                <w:lang w:val="en-US" w:eastAsia="ko-KR"/>
              </w:rPr>
              <w:t>0.586</w:t>
            </w:r>
          </w:p>
        </w:tc>
        <w:tc>
          <w:tcPr>
            <w:tcW w:w="1830" w:type="dxa"/>
            <w:tcBorders>
              <w:top w:val="nil"/>
              <w:left w:val="nil"/>
              <w:bottom w:val="single" w:sz="6" w:space="0" w:color="auto"/>
              <w:right w:val="nil"/>
            </w:tcBorders>
            <w:shd w:val="clear" w:color="auto" w:fill="auto"/>
            <w:vAlign w:val="bottom"/>
            <w:hideMark/>
          </w:tcPr>
          <w:p w14:paraId="42947207" w14:textId="77777777" w:rsidR="00873A0C" w:rsidRPr="002B53A8" w:rsidRDefault="00873A0C" w:rsidP="00873A0C">
            <w:pPr>
              <w:overflowPunct/>
              <w:autoSpaceDE/>
              <w:autoSpaceDN/>
              <w:adjustRightInd/>
              <w:spacing w:after="0"/>
              <w:jc w:val="center"/>
              <w:rPr>
                <w:rFonts w:eastAsia="Times New Roman"/>
                <w:lang w:val="en-US" w:eastAsia="ko-KR"/>
              </w:rPr>
            </w:pPr>
            <w:r w:rsidRPr="002B53A8">
              <w:rPr>
                <w:rFonts w:eastAsia="Times New Roman"/>
                <w:b/>
                <w:bCs/>
                <w:color w:val="000000"/>
                <w:lang w:val="en-US" w:eastAsia="ko-KR"/>
              </w:rPr>
              <w:t>175.8</w:t>
            </w:r>
          </w:p>
        </w:tc>
        <w:tc>
          <w:tcPr>
            <w:tcW w:w="1410" w:type="dxa"/>
            <w:tcBorders>
              <w:top w:val="nil"/>
              <w:left w:val="single" w:sz="6" w:space="0" w:color="auto"/>
              <w:bottom w:val="single" w:sz="6" w:space="0" w:color="auto"/>
              <w:right w:val="single" w:sz="6" w:space="0" w:color="auto"/>
            </w:tcBorders>
            <w:shd w:val="clear" w:color="auto" w:fill="auto"/>
            <w:vAlign w:val="bottom"/>
            <w:hideMark/>
          </w:tcPr>
          <w:p w14:paraId="53E7430B" w14:textId="77777777" w:rsidR="00873A0C" w:rsidRPr="002B53A8" w:rsidRDefault="00873A0C" w:rsidP="00873A0C">
            <w:pPr>
              <w:overflowPunct/>
              <w:autoSpaceDE/>
              <w:autoSpaceDN/>
              <w:adjustRightInd/>
              <w:spacing w:after="0"/>
              <w:jc w:val="center"/>
              <w:rPr>
                <w:rFonts w:eastAsia="Times New Roman"/>
                <w:lang w:val="en-US" w:eastAsia="ko-KR"/>
              </w:rPr>
            </w:pPr>
            <w:r w:rsidRPr="002B53A8">
              <w:rPr>
                <w:rFonts w:eastAsia="Times New Roman"/>
                <w:color w:val="000000"/>
                <w:lang w:val="en-US" w:eastAsia="ko-KR"/>
              </w:rPr>
              <w:t>N/A</w:t>
            </w:r>
          </w:p>
        </w:tc>
        <w:tc>
          <w:tcPr>
            <w:tcW w:w="1410" w:type="dxa"/>
            <w:tcBorders>
              <w:top w:val="nil"/>
              <w:left w:val="nil"/>
              <w:bottom w:val="single" w:sz="6" w:space="0" w:color="auto"/>
              <w:right w:val="single" w:sz="6" w:space="0" w:color="auto"/>
            </w:tcBorders>
            <w:shd w:val="clear" w:color="auto" w:fill="auto"/>
            <w:vAlign w:val="bottom"/>
            <w:hideMark/>
          </w:tcPr>
          <w:p w14:paraId="6A03E84B" w14:textId="77777777" w:rsidR="00873A0C" w:rsidRPr="002B53A8" w:rsidRDefault="00873A0C" w:rsidP="00873A0C">
            <w:pPr>
              <w:overflowPunct/>
              <w:autoSpaceDE/>
              <w:autoSpaceDN/>
              <w:adjustRightInd/>
              <w:spacing w:after="0"/>
              <w:jc w:val="center"/>
              <w:rPr>
                <w:rFonts w:eastAsia="Times New Roman"/>
                <w:lang w:val="en-US" w:eastAsia="ko-KR"/>
              </w:rPr>
            </w:pPr>
            <w:r w:rsidRPr="002B53A8">
              <w:rPr>
                <w:rFonts w:eastAsia="Times New Roman"/>
                <w:b/>
                <w:bCs/>
                <w:color w:val="000000"/>
                <w:lang w:val="en-US" w:eastAsia="ko-KR"/>
              </w:rPr>
              <w:t>N/A</w:t>
            </w:r>
          </w:p>
        </w:tc>
      </w:tr>
      <w:tr w:rsidR="00873A0C" w:rsidRPr="00FC4710" w14:paraId="5D1D9456" w14:textId="77777777" w:rsidTr="00873A0C">
        <w:trPr>
          <w:trHeight w:val="285"/>
          <w:jc w:val="center"/>
        </w:trPr>
        <w:tc>
          <w:tcPr>
            <w:tcW w:w="915" w:type="dxa"/>
            <w:tcBorders>
              <w:top w:val="nil"/>
              <w:left w:val="single" w:sz="6" w:space="0" w:color="auto"/>
              <w:bottom w:val="single" w:sz="6" w:space="0" w:color="auto"/>
              <w:right w:val="single" w:sz="6" w:space="0" w:color="auto"/>
            </w:tcBorders>
            <w:shd w:val="clear" w:color="auto" w:fill="auto"/>
            <w:vAlign w:val="bottom"/>
            <w:hideMark/>
          </w:tcPr>
          <w:p w14:paraId="3E34996C" w14:textId="77777777" w:rsidR="00873A0C" w:rsidRPr="002B53A8" w:rsidRDefault="00873A0C" w:rsidP="00873A0C">
            <w:pPr>
              <w:overflowPunct/>
              <w:autoSpaceDE/>
              <w:autoSpaceDN/>
              <w:adjustRightInd/>
              <w:spacing w:after="0"/>
              <w:jc w:val="center"/>
              <w:rPr>
                <w:rFonts w:eastAsia="Times New Roman"/>
                <w:lang w:val="en-US" w:eastAsia="ko-KR"/>
              </w:rPr>
            </w:pPr>
            <w:r w:rsidRPr="002B53A8">
              <w:rPr>
                <w:rFonts w:eastAsia="Times New Roman"/>
                <w:color w:val="000000"/>
                <w:lang w:val="en-US" w:eastAsia="ko-KR"/>
              </w:rPr>
              <w:t>60</w:t>
            </w:r>
          </w:p>
        </w:tc>
        <w:tc>
          <w:tcPr>
            <w:tcW w:w="1620" w:type="dxa"/>
            <w:tcBorders>
              <w:top w:val="nil"/>
              <w:left w:val="nil"/>
              <w:bottom w:val="single" w:sz="6" w:space="0" w:color="auto"/>
              <w:right w:val="single" w:sz="6" w:space="0" w:color="auto"/>
            </w:tcBorders>
            <w:shd w:val="clear" w:color="auto" w:fill="auto"/>
            <w:vAlign w:val="bottom"/>
            <w:hideMark/>
          </w:tcPr>
          <w:p w14:paraId="02EE9D07" w14:textId="77777777" w:rsidR="00873A0C" w:rsidRPr="002B53A8" w:rsidRDefault="00873A0C" w:rsidP="00873A0C">
            <w:pPr>
              <w:overflowPunct/>
              <w:autoSpaceDE/>
              <w:autoSpaceDN/>
              <w:adjustRightInd/>
              <w:spacing w:after="0"/>
              <w:jc w:val="center"/>
              <w:rPr>
                <w:rFonts w:eastAsia="Times New Roman"/>
                <w:lang w:val="en-US" w:eastAsia="ko-KR"/>
              </w:rPr>
            </w:pPr>
            <w:r w:rsidRPr="002B53A8">
              <w:rPr>
                <w:rFonts w:eastAsia="Times New Roman"/>
                <w:color w:val="000000"/>
                <w:lang w:val="en-US" w:eastAsia="ko-KR"/>
              </w:rPr>
              <w:t>16.67</w:t>
            </w:r>
          </w:p>
        </w:tc>
        <w:tc>
          <w:tcPr>
            <w:tcW w:w="1275" w:type="dxa"/>
            <w:tcBorders>
              <w:top w:val="nil"/>
              <w:left w:val="nil"/>
              <w:bottom w:val="single" w:sz="6" w:space="0" w:color="auto"/>
              <w:right w:val="single" w:sz="6" w:space="0" w:color="auto"/>
            </w:tcBorders>
            <w:shd w:val="clear" w:color="auto" w:fill="auto"/>
            <w:vAlign w:val="bottom"/>
            <w:hideMark/>
          </w:tcPr>
          <w:p w14:paraId="170AD263" w14:textId="77777777" w:rsidR="00873A0C" w:rsidRPr="002B53A8" w:rsidRDefault="00873A0C" w:rsidP="00873A0C">
            <w:pPr>
              <w:overflowPunct/>
              <w:autoSpaceDE/>
              <w:autoSpaceDN/>
              <w:adjustRightInd/>
              <w:spacing w:after="0"/>
              <w:jc w:val="center"/>
              <w:rPr>
                <w:rFonts w:eastAsia="Times New Roman"/>
                <w:lang w:val="en-US" w:eastAsia="ko-KR"/>
              </w:rPr>
            </w:pPr>
            <w:r w:rsidRPr="002B53A8">
              <w:rPr>
                <w:rFonts w:eastAsia="Times New Roman"/>
                <w:color w:val="000000"/>
                <w:lang w:val="en-US" w:eastAsia="ko-KR"/>
              </w:rPr>
              <w:t>1.172</w:t>
            </w:r>
          </w:p>
        </w:tc>
        <w:tc>
          <w:tcPr>
            <w:tcW w:w="1830" w:type="dxa"/>
            <w:tcBorders>
              <w:top w:val="nil"/>
              <w:left w:val="nil"/>
              <w:bottom w:val="single" w:sz="6" w:space="0" w:color="auto"/>
              <w:right w:val="nil"/>
            </w:tcBorders>
            <w:shd w:val="clear" w:color="auto" w:fill="auto"/>
            <w:vAlign w:val="bottom"/>
            <w:hideMark/>
          </w:tcPr>
          <w:p w14:paraId="1535E654" w14:textId="77777777" w:rsidR="00873A0C" w:rsidRPr="002B53A8" w:rsidRDefault="00873A0C" w:rsidP="00873A0C">
            <w:pPr>
              <w:overflowPunct/>
              <w:autoSpaceDE/>
              <w:autoSpaceDN/>
              <w:adjustRightInd/>
              <w:spacing w:after="0"/>
              <w:jc w:val="center"/>
              <w:rPr>
                <w:rFonts w:eastAsia="Times New Roman"/>
                <w:lang w:val="en-US" w:eastAsia="ko-KR"/>
              </w:rPr>
            </w:pPr>
            <w:r w:rsidRPr="002B53A8">
              <w:rPr>
                <w:rFonts w:eastAsia="Times New Roman"/>
                <w:b/>
                <w:bCs/>
                <w:color w:val="000000"/>
                <w:lang w:val="en-US" w:eastAsia="ko-KR"/>
              </w:rPr>
              <w:t>351.6</w:t>
            </w:r>
          </w:p>
        </w:tc>
        <w:tc>
          <w:tcPr>
            <w:tcW w:w="1410" w:type="dxa"/>
            <w:tcBorders>
              <w:top w:val="nil"/>
              <w:left w:val="single" w:sz="6" w:space="0" w:color="auto"/>
              <w:bottom w:val="single" w:sz="6" w:space="0" w:color="auto"/>
              <w:right w:val="single" w:sz="6" w:space="0" w:color="auto"/>
            </w:tcBorders>
            <w:shd w:val="clear" w:color="auto" w:fill="auto"/>
            <w:vAlign w:val="bottom"/>
            <w:hideMark/>
          </w:tcPr>
          <w:p w14:paraId="4FD1DE23" w14:textId="77777777" w:rsidR="00873A0C" w:rsidRPr="002B53A8" w:rsidRDefault="00873A0C" w:rsidP="00873A0C">
            <w:pPr>
              <w:overflowPunct/>
              <w:autoSpaceDE/>
              <w:autoSpaceDN/>
              <w:adjustRightInd/>
              <w:spacing w:after="0"/>
              <w:jc w:val="center"/>
              <w:rPr>
                <w:rFonts w:eastAsia="Times New Roman"/>
                <w:lang w:val="en-US" w:eastAsia="ko-KR"/>
              </w:rPr>
            </w:pPr>
            <w:r w:rsidRPr="002B53A8">
              <w:rPr>
                <w:rFonts w:eastAsia="Times New Roman"/>
                <w:color w:val="000000"/>
                <w:lang w:val="en-US" w:eastAsia="ko-KR"/>
              </w:rPr>
              <w:t>1.693</w:t>
            </w:r>
          </w:p>
        </w:tc>
        <w:tc>
          <w:tcPr>
            <w:tcW w:w="1410" w:type="dxa"/>
            <w:tcBorders>
              <w:top w:val="nil"/>
              <w:left w:val="nil"/>
              <w:bottom w:val="single" w:sz="6" w:space="0" w:color="auto"/>
              <w:right w:val="single" w:sz="6" w:space="0" w:color="auto"/>
            </w:tcBorders>
            <w:shd w:val="clear" w:color="auto" w:fill="auto"/>
            <w:vAlign w:val="bottom"/>
            <w:hideMark/>
          </w:tcPr>
          <w:p w14:paraId="4143B257" w14:textId="77777777" w:rsidR="00873A0C" w:rsidRPr="002B53A8" w:rsidRDefault="00873A0C" w:rsidP="00873A0C">
            <w:pPr>
              <w:overflowPunct/>
              <w:autoSpaceDE/>
              <w:autoSpaceDN/>
              <w:adjustRightInd/>
              <w:spacing w:after="0"/>
              <w:jc w:val="center"/>
              <w:rPr>
                <w:rFonts w:eastAsia="Times New Roman"/>
                <w:lang w:val="en-US" w:eastAsia="ko-KR"/>
              </w:rPr>
            </w:pPr>
            <w:r w:rsidRPr="002B53A8">
              <w:rPr>
                <w:rFonts w:eastAsia="Times New Roman"/>
                <w:b/>
                <w:bCs/>
                <w:color w:val="000000"/>
                <w:lang w:val="en-US" w:eastAsia="ko-KR"/>
              </w:rPr>
              <w:t>507.9</w:t>
            </w:r>
          </w:p>
        </w:tc>
      </w:tr>
      <w:tr w:rsidR="00873A0C" w:rsidRPr="00FC4710" w14:paraId="10A531B0" w14:textId="77777777" w:rsidTr="00873A0C">
        <w:trPr>
          <w:trHeight w:val="285"/>
          <w:jc w:val="center"/>
        </w:trPr>
        <w:tc>
          <w:tcPr>
            <w:tcW w:w="915" w:type="dxa"/>
            <w:tcBorders>
              <w:top w:val="nil"/>
              <w:left w:val="single" w:sz="6" w:space="0" w:color="auto"/>
              <w:bottom w:val="single" w:sz="6" w:space="0" w:color="auto"/>
              <w:right w:val="single" w:sz="6" w:space="0" w:color="auto"/>
            </w:tcBorders>
            <w:shd w:val="clear" w:color="auto" w:fill="auto"/>
            <w:vAlign w:val="bottom"/>
            <w:hideMark/>
          </w:tcPr>
          <w:p w14:paraId="52D09430" w14:textId="77777777" w:rsidR="00873A0C" w:rsidRPr="002B53A8" w:rsidRDefault="00873A0C" w:rsidP="00873A0C">
            <w:pPr>
              <w:overflowPunct/>
              <w:autoSpaceDE/>
              <w:autoSpaceDN/>
              <w:adjustRightInd/>
              <w:spacing w:after="0"/>
              <w:jc w:val="center"/>
              <w:rPr>
                <w:rFonts w:eastAsia="Times New Roman"/>
                <w:lang w:val="en-US" w:eastAsia="ko-KR"/>
              </w:rPr>
            </w:pPr>
            <w:r w:rsidRPr="002B53A8">
              <w:rPr>
                <w:rFonts w:eastAsia="Times New Roman"/>
                <w:color w:val="000000"/>
                <w:lang w:val="en-US" w:eastAsia="ko-KR"/>
              </w:rPr>
              <w:t>30</w:t>
            </w:r>
          </w:p>
        </w:tc>
        <w:tc>
          <w:tcPr>
            <w:tcW w:w="1620" w:type="dxa"/>
            <w:tcBorders>
              <w:top w:val="nil"/>
              <w:left w:val="nil"/>
              <w:bottom w:val="single" w:sz="6" w:space="0" w:color="auto"/>
              <w:right w:val="single" w:sz="6" w:space="0" w:color="auto"/>
            </w:tcBorders>
            <w:shd w:val="clear" w:color="auto" w:fill="auto"/>
            <w:vAlign w:val="bottom"/>
            <w:hideMark/>
          </w:tcPr>
          <w:p w14:paraId="26D1D353" w14:textId="77777777" w:rsidR="00873A0C" w:rsidRPr="002B53A8" w:rsidRDefault="00873A0C" w:rsidP="00873A0C">
            <w:pPr>
              <w:overflowPunct/>
              <w:autoSpaceDE/>
              <w:autoSpaceDN/>
              <w:adjustRightInd/>
              <w:spacing w:after="0"/>
              <w:jc w:val="center"/>
              <w:rPr>
                <w:rFonts w:eastAsia="Times New Roman"/>
                <w:lang w:val="en-US" w:eastAsia="ko-KR"/>
              </w:rPr>
            </w:pPr>
            <w:r w:rsidRPr="002B53A8">
              <w:rPr>
                <w:rFonts w:eastAsia="Times New Roman"/>
                <w:color w:val="000000"/>
                <w:lang w:val="en-US" w:eastAsia="ko-KR"/>
              </w:rPr>
              <w:t>33.33</w:t>
            </w:r>
          </w:p>
        </w:tc>
        <w:tc>
          <w:tcPr>
            <w:tcW w:w="1275" w:type="dxa"/>
            <w:tcBorders>
              <w:top w:val="nil"/>
              <w:left w:val="nil"/>
              <w:bottom w:val="single" w:sz="6" w:space="0" w:color="auto"/>
              <w:right w:val="single" w:sz="6" w:space="0" w:color="auto"/>
            </w:tcBorders>
            <w:shd w:val="clear" w:color="auto" w:fill="auto"/>
            <w:vAlign w:val="bottom"/>
            <w:hideMark/>
          </w:tcPr>
          <w:p w14:paraId="5AA4E17B" w14:textId="77777777" w:rsidR="00873A0C" w:rsidRPr="002B53A8" w:rsidRDefault="00873A0C" w:rsidP="00873A0C">
            <w:pPr>
              <w:overflowPunct/>
              <w:autoSpaceDE/>
              <w:autoSpaceDN/>
              <w:adjustRightInd/>
              <w:spacing w:after="0"/>
              <w:jc w:val="center"/>
              <w:rPr>
                <w:rFonts w:eastAsia="Times New Roman"/>
                <w:lang w:val="en-US" w:eastAsia="ko-KR"/>
              </w:rPr>
            </w:pPr>
            <w:r w:rsidRPr="002B53A8">
              <w:rPr>
                <w:rFonts w:eastAsia="Times New Roman"/>
                <w:color w:val="000000"/>
                <w:lang w:val="en-US" w:eastAsia="ko-KR"/>
              </w:rPr>
              <w:t>2.344</w:t>
            </w:r>
          </w:p>
        </w:tc>
        <w:tc>
          <w:tcPr>
            <w:tcW w:w="1830" w:type="dxa"/>
            <w:tcBorders>
              <w:top w:val="nil"/>
              <w:left w:val="nil"/>
              <w:bottom w:val="single" w:sz="6" w:space="0" w:color="auto"/>
              <w:right w:val="nil"/>
            </w:tcBorders>
            <w:shd w:val="clear" w:color="auto" w:fill="auto"/>
            <w:vAlign w:val="bottom"/>
            <w:hideMark/>
          </w:tcPr>
          <w:p w14:paraId="026B0CB8" w14:textId="77777777" w:rsidR="00873A0C" w:rsidRPr="002B53A8" w:rsidRDefault="00873A0C" w:rsidP="00873A0C">
            <w:pPr>
              <w:overflowPunct/>
              <w:autoSpaceDE/>
              <w:autoSpaceDN/>
              <w:adjustRightInd/>
              <w:spacing w:after="0"/>
              <w:jc w:val="center"/>
              <w:rPr>
                <w:rFonts w:eastAsia="Times New Roman"/>
                <w:lang w:val="en-US" w:eastAsia="ko-KR"/>
              </w:rPr>
            </w:pPr>
            <w:r w:rsidRPr="002B53A8">
              <w:rPr>
                <w:rFonts w:eastAsia="Times New Roman"/>
                <w:b/>
                <w:bCs/>
                <w:color w:val="000000"/>
                <w:lang w:val="en-US" w:eastAsia="ko-KR"/>
              </w:rPr>
              <w:t>703.2</w:t>
            </w:r>
          </w:p>
        </w:tc>
        <w:tc>
          <w:tcPr>
            <w:tcW w:w="1410" w:type="dxa"/>
            <w:tcBorders>
              <w:top w:val="nil"/>
              <w:left w:val="single" w:sz="6" w:space="0" w:color="auto"/>
              <w:bottom w:val="single" w:sz="6" w:space="0" w:color="auto"/>
              <w:right w:val="single" w:sz="6" w:space="0" w:color="auto"/>
            </w:tcBorders>
            <w:shd w:val="clear" w:color="auto" w:fill="auto"/>
            <w:vAlign w:val="bottom"/>
            <w:hideMark/>
          </w:tcPr>
          <w:p w14:paraId="5FD3AAEF" w14:textId="77777777" w:rsidR="00873A0C" w:rsidRPr="002B53A8" w:rsidRDefault="00873A0C" w:rsidP="00873A0C">
            <w:pPr>
              <w:overflowPunct/>
              <w:autoSpaceDE/>
              <w:autoSpaceDN/>
              <w:adjustRightInd/>
              <w:spacing w:after="0"/>
              <w:jc w:val="center"/>
              <w:rPr>
                <w:rFonts w:eastAsia="Times New Roman"/>
                <w:lang w:val="en-US" w:eastAsia="ko-KR"/>
              </w:rPr>
            </w:pPr>
            <w:r w:rsidRPr="002B53A8">
              <w:rPr>
                <w:rFonts w:eastAsia="Times New Roman"/>
                <w:color w:val="000000"/>
                <w:lang w:val="en-US" w:eastAsia="ko-KR"/>
              </w:rPr>
              <w:t>N/A</w:t>
            </w:r>
          </w:p>
        </w:tc>
        <w:tc>
          <w:tcPr>
            <w:tcW w:w="1410" w:type="dxa"/>
            <w:tcBorders>
              <w:top w:val="nil"/>
              <w:left w:val="nil"/>
              <w:bottom w:val="single" w:sz="6" w:space="0" w:color="auto"/>
              <w:right w:val="single" w:sz="6" w:space="0" w:color="auto"/>
            </w:tcBorders>
            <w:shd w:val="clear" w:color="auto" w:fill="auto"/>
            <w:vAlign w:val="bottom"/>
            <w:hideMark/>
          </w:tcPr>
          <w:p w14:paraId="56518697" w14:textId="77777777" w:rsidR="00873A0C" w:rsidRPr="002B53A8" w:rsidRDefault="00873A0C" w:rsidP="00873A0C">
            <w:pPr>
              <w:overflowPunct/>
              <w:autoSpaceDE/>
              <w:autoSpaceDN/>
              <w:adjustRightInd/>
              <w:spacing w:after="0"/>
              <w:jc w:val="center"/>
              <w:rPr>
                <w:rFonts w:eastAsia="Times New Roman"/>
                <w:lang w:val="en-US" w:eastAsia="ko-KR"/>
              </w:rPr>
            </w:pPr>
            <w:r w:rsidRPr="002B53A8">
              <w:rPr>
                <w:rFonts w:eastAsia="Times New Roman"/>
                <w:b/>
                <w:bCs/>
                <w:color w:val="000000"/>
                <w:lang w:val="en-US" w:eastAsia="ko-KR"/>
              </w:rPr>
              <w:t>N/A</w:t>
            </w:r>
          </w:p>
        </w:tc>
      </w:tr>
      <w:tr w:rsidR="00873A0C" w:rsidRPr="00FC4710" w14:paraId="396480C8" w14:textId="77777777" w:rsidTr="00873A0C">
        <w:trPr>
          <w:trHeight w:val="300"/>
          <w:jc w:val="center"/>
        </w:trPr>
        <w:tc>
          <w:tcPr>
            <w:tcW w:w="915" w:type="dxa"/>
            <w:tcBorders>
              <w:top w:val="nil"/>
              <w:left w:val="single" w:sz="6" w:space="0" w:color="auto"/>
              <w:bottom w:val="single" w:sz="6" w:space="0" w:color="auto"/>
              <w:right w:val="single" w:sz="6" w:space="0" w:color="auto"/>
            </w:tcBorders>
            <w:shd w:val="clear" w:color="auto" w:fill="auto"/>
            <w:vAlign w:val="bottom"/>
            <w:hideMark/>
          </w:tcPr>
          <w:p w14:paraId="2C6FF6D1" w14:textId="77777777" w:rsidR="00873A0C" w:rsidRPr="002B53A8" w:rsidRDefault="00873A0C" w:rsidP="00873A0C">
            <w:pPr>
              <w:overflowPunct/>
              <w:autoSpaceDE/>
              <w:autoSpaceDN/>
              <w:adjustRightInd/>
              <w:spacing w:after="0"/>
              <w:jc w:val="center"/>
              <w:rPr>
                <w:rFonts w:eastAsia="Times New Roman"/>
                <w:lang w:val="en-US" w:eastAsia="ko-KR"/>
              </w:rPr>
            </w:pPr>
            <w:r w:rsidRPr="002B53A8">
              <w:rPr>
                <w:rFonts w:eastAsia="Times New Roman"/>
                <w:color w:val="000000"/>
                <w:lang w:val="en-US" w:eastAsia="ko-KR"/>
              </w:rPr>
              <w:t>15</w:t>
            </w:r>
          </w:p>
        </w:tc>
        <w:tc>
          <w:tcPr>
            <w:tcW w:w="1620" w:type="dxa"/>
            <w:tcBorders>
              <w:top w:val="nil"/>
              <w:left w:val="nil"/>
              <w:bottom w:val="single" w:sz="6" w:space="0" w:color="auto"/>
              <w:right w:val="single" w:sz="6" w:space="0" w:color="auto"/>
            </w:tcBorders>
            <w:shd w:val="clear" w:color="auto" w:fill="auto"/>
            <w:vAlign w:val="bottom"/>
            <w:hideMark/>
          </w:tcPr>
          <w:p w14:paraId="5E5C8D82" w14:textId="77777777" w:rsidR="00873A0C" w:rsidRPr="002B53A8" w:rsidRDefault="00873A0C" w:rsidP="00873A0C">
            <w:pPr>
              <w:overflowPunct/>
              <w:autoSpaceDE/>
              <w:autoSpaceDN/>
              <w:adjustRightInd/>
              <w:spacing w:after="0"/>
              <w:jc w:val="center"/>
              <w:rPr>
                <w:rFonts w:eastAsia="Times New Roman"/>
                <w:lang w:val="en-US" w:eastAsia="ko-KR"/>
              </w:rPr>
            </w:pPr>
            <w:r w:rsidRPr="002B53A8">
              <w:rPr>
                <w:rFonts w:eastAsia="Times New Roman"/>
                <w:color w:val="000000"/>
                <w:lang w:val="en-US" w:eastAsia="ko-KR"/>
              </w:rPr>
              <w:t>66.67</w:t>
            </w:r>
          </w:p>
        </w:tc>
        <w:tc>
          <w:tcPr>
            <w:tcW w:w="1275" w:type="dxa"/>
            <w:tcBorders>
              <w:top w:val="nil"/>
              <w:left w:val="nil"/>
              <w:bottom w:val="single" w:sz="6" w:space="0" w:color="auto"/>
              <w:right w:val="single" w:sz="6" w:space="0" w:color="auto"/>
            </w:tcBorders>
            <w:shd w:val="clear" w:color="auto" w:fill="auto"/>
            <w:vAlign w:val="bottom"/>
            <w:hideMark/>
          </w:tcPr>
          <w:p w14:paraId="1FADAF69" w14:textId="77777777" w:rsidR="00873A0C" w:rsidRPr="002B53A8" w:rsidRDefault="00873A0C" w:rsidP="00873A0C">
            <w:pPr>
              <w:overflowPunct/>
              <w:autoSpaceDE/>
              <w:autoSpaceDN/>
              <w:adjustRightInd/>
              <w:spacing w:after="0"/>
              <w:jc w:val="center"/>
              <w:rPr>
                <w:rFonts w:eastAsia="Times New Roman"/>
                <w:lang w:val="en-US" w:eastAsia="ko-KR"/>
              </w:rPr>
            </w:pPr>
            <w:r w:rsidRPr="002B53A8">
              <w:rPr>
                <w:rFonts w:eastAsia="Times New Roman"/>
                <w:color w:val="000000"/>
                <w:lang w:val="en-US" w:eastAsia="ko-KR"/>
              </w:rPr>
              <w:t>4.688</w:t>
            </w:r>
          </w:p>
        </w:tc>
        <w:tc>
          <w:tcPr>
            <w:tcW w:w="1830" w:type="dxa"/>
            <w:tcBorders>
              <w:top w:val="nil"/>
              <w:left w:val="nil"/>
              <w:bottom w:val="single" w:sz="6" w:space="0" w:color="auto"/>
              <w:right w:val="nil"/>
            </w:tcBorders>
            <w:shd w:val="clear" w:color="auto" w:fill="auto"/>
            <w:vAlign w:val="bottom"/>
            <w:hideMark/>
          </w:tcPr>
          <w:p w14:paraId="652F1A4C" w14:textId="77777777" w:rsidR="00873A0C" w:rsidRPr="002B53A8" w:rsidRDefault="00873A0C" w:rsidP="00873A0C">
            <w:pPr>
              <w:overflowPunct/>
              <w:autoSpaceDE/>
              <w:autoSpaceDN/>
              <w:adjustRightInd/>
              <w:spacing w:after="0"/>
              <w:jc w:val="center"/>
              <w:rPr>
                <w:rFonts w:eastAsia="Times New Roman"/>
                <w:lang w:val="en-US" w:eastAsia="ko-KR"/>
              </w:rPr>
            </w:pPr>
            <w:r w:rsidRPr="002B53A8">
              <w:rPr>
                <w:rFonts w:eastAsia="Times New Roman"/>
                <w:b/>
                <w:bCs/>
                <w:color w:val="000000"/>
                <w:lang w:val="en-US" w:eastAsia="ko-KR"/>
              </w:rPr>
              <w:t>1406.4</w:t>
            </w:r>
          </w:p>
        </w:tc>
        <w:tc>
          <w:tcPr>
            <w:tcW w:w="1410" w:type="dxa"/>
            <w:tcBorders>
              <w:top w:val="nil"/>
              <w:left w:val="single" w:sz="6" w:space="0" w:color="auto"/>
              <w:bottom w:val="single" w:sz="6" w:space="0" w:color="auto"/>
              <w:right w:val="single" w:sz="6" w:space="0" w:color="auto"/>
            </w:tcBorders>
            <w:shd w:val="clear" w:color="auto" w:fill="auto"/>
            <w:vAlign w:val="bottom"/>
            <w:hideMark/>
          </w:tcPr>
          <w:p w14:paraId="5B10B691" w14:textId="77777777" w:rsidR="00873A0C" w:rsidRPr="002B53A8" w:rsidRDefault="00873A0C" w:rsidP="00873A0C">
            <w:pPr>
              <w:overflowPunct/>
              <w:autoSpaceDE/>
              <w:autoSpaceDN/>
              <w:adjustRightInd/>
              <w:spacing w:after="0"/>
              <w:jc w:val="center"/>
              <w:rPr>
                <w:rFonts w:eastAsia="Times New Roman"/>
                <w:lang w:val="en-US" w:eastAsia="ko-KR"/>
              </w:rPr>
            </w:pPr>
            <w:r w:rsidRPr="002B53A8">
              <w:rPr>
                <w:rFonts w:eastAsia="Times New Roman"/>
                <w:color w:val="000000"/>
                <w:lang w:val="en-US" w:eastAsia="ko-KR"/>
              </w:rPr>
              <w:t>N/A</w:t>
            </w:r>
          </w:p>
        </w:tc>
        <w:tc>
          <w:tcPr>
            <w:tcW w:w="1410" w:type="dxa"/>
            <w:tcBorders>
              <w:top w:val="nil"/>
              <w:left w:val="nil"/>
              <w:bottom w:val="single" w:sz="6" w:space="0" w:color="auto"/>
              <w:right w:val="single" w:sz="6" w:space="0" w:color="auto"/>
            </w:tcBorders>
            <w:shd w:val="clear" w:color="auto" w:fill="auto"/>
            <w:vAlign w:val="bottom"/>
            <w:hideMark/>
          </w:tcPr>
          <w:p w14:paraId="2B38B42A" w14:textId="77777777" w:rsidR="00873A0C" w:rsidRPr="002B53A8" w:rsidRDefault="00873A0C" w:rsidP="00873A0C">
            <w:pPr>
              <w:overflowPunct/>
              <w:autoSpaceDE/>
              <w:autoSpaceDN/>
              <w:adjustRightInd/>
              <w:spacing w:after="0"/>
              <w:jc w:val="center"/>
              <w:rPr>
                <w:rFonts w:eastAsia="Times New Roman"/>
                <w:lang w:val="en-US" w:eastAsia="ko-KR"/>
              </w:rPr>
            </w:pPr>
            <w:r w:rsidRPr="002B53A8">
              <w:rPr>
                <w:rFonts w:eastAsia="Times New Roman"/>
                <w:b/>
                <w:bCs/>
                <w:color w:val="000000"/>
                <w:lang w:val="en-US" w:eastAsia="ko-KR"/>
              </w:rPr>
              <w:t>N/A</w:t>
            </w:r>
          </w:p>
        </w:tc>
      </w:tr>
    </w:tbl>
    <w:p w14:paraId="5FAD441C" w14:textId="77777777" w:rsidR="00873A0C" w:rsidRPr="002B53A8" w:rsidRDefault="00873A0C" w:rsidP="00873A0C">
      <w:pPr>
        <w:overflowPunct/>
        <w:autoSpaceDE/>
        <w:autoSpaceDN/>
        <w:adjustRightInd/>
        <w:spacing w:after="0"/>
        <w:rPr>
          <w:rFonts w:eastAsia="Times New Roman"/>
          <w:lang w:val="en-US" w:eastAsia="ko-KR"/>
        </w:rPr>
      </w:pPr>
      <w:r w:rsidRPr="002B53A8">
        <w:rPr>
          <w:rFonts w:eastAsia="Times New Roman"/>
          <w:lang w:val="en-US" w:eastAsia="ko-KR"/>
        </w:rPr>
        <w:t> </w:t>
      </w:r>
    </w:p>
    <w:p w14:paraId="151ABCA4" w14:textId="164A6C9F" w:rsidR="00873A0C" w:rsidRPr="002B53A8" w:rsidRDefault="00873A0C" w:rsidP="00873A0C">
      <w:pPr>
        <w:overflowPunct/>
        <w:autoSpaceDE/>
        <w:autoSpaceDN/>
        <w:adjustRightInd/>
        <w:spacing w:after="0"/>
        <w:rPr>
          <w:rFonts w:eastAsia="Times New Roman"/>
          <w:lang w:val="en-US" w:eastAsia="ko-KR"/>
        </w:rPr>
      </w:pPr>
      <w:r w:rsidRPr="002B53A8">
        <w:rPr>
          <w:rFonts w:eastAsia="Times New Roman"/>
          <w:lang w:val="en-US" w:eastAsia="ko-KR"/>
        </w:rPr>
        <w:t>In order to solve the</w:t>
      </w:r>
      <w:r w:rsidR="00B557E3">
        <w:rPr>
          <w:rFonts w:eastAsia="Times New Roman"/>
          <w:lang w:val="en-US" w:eastAsia="ko-KR"/>
        </w:rPr>
        <w:t>se</w:t>
      </w:r>
      <w:r w:rsidRPr="002B53A8">
        <w:rPr>
          <w:rFonts w:eastAsia="Times New Roman"/>
          <w:lang w:val="en-US" w:eastAsia="ko-KR"/>
        </w:rPr>
        <w:t xml:space="preserve"> issues, we consider option-3 of TA mechanisms that the configured TA can be adjusted for the purpose of transmitting UL SRS intending to a neighboring cell. Option-2 is close to the cell-specific TA control concept, LMF should know UE TA adjustment for UL-TDOA, which needs additional reporting process from a UE to LMF, which seems like redundant procedures. But if option-3 is supported, we think option-2 process can </w:t>
      </w:r>
      <w:r w:rsidR="00A959E7">
        <w:rPr>
          <w:rFonts w:eastAsia="Times New Roman"/>
          <w:lang w:val="en-US" w:eastAsia="ko-KR"/>
        </w:rPr>
        <w:t xml:space="preserve">also </w:t>
      </w:r>
      <w:r w:rsidRPr="002B53A8">
        <w:rPr>
          <w:rFonts w:eastAsia="Times New Roman"/>
          <w:lang w:val="en-US" w:eastAsia="ko-KR"/>
        </w:rPr>
        <w:t>be possible. </w:t>
      </w:r>
    </w:p>
    <w:p w14:paraId="3DC3AA95" w14:textId="77777777" w:rsidR="00873A0C" w:rsidRPr="002B53A8" w:rsidRDefault="00873A0C" w:rsidP="00873A0C">
      <w:pPr>
        <w:overflowPunct/>
        <w:autoSpaceDE/>
        <w:autoSpaceDN/>
        <w:adjustRightInd/>
        <w:spacing w:after="0"/>
        <w:rPr>
          <w:rFonts w:eastAsia="Times New Roman"/>
          <w:lang w:val="en-US" w:eastAsia="ko-KR"/>
        </w:rPr>
      </w:pPr>
    </w:p>
    <w:p w14:paraId="1673E927" w14:textId="08CB3BD3" w:rsidR="00873A0C" w:rsidRPr="002B53A8" w:rsidRDefault="00873A0C" w:rsidP="00873A0C">
      <w:pPr>
        <w:overflowPunct/>
        <w:autoSpaceDE/>
        <w:autoSpaceDN/>
        <w:adjustRightInd/>
        <w:spacing w:after="0"/>
        <w:rPr>
          <w:rFonts w:eastAsia="Times New Roman"/>
          <w:lang w:val="en-US" w:eastAsia="ko-KR"/>
        </w:rPr>
      </w:pPr>
      <w:r w:rsidRPr="005373F3">
        <w:rPr>
          <w:rFonts w:eastAsia="Times New Roman"/>
          <w:b/>
          <w:bCs/>
          <w:lang w:val="en-US" w:eastAsia="ko-KR"/>
        </w:rPr>
        <w:t>Proposal </w:t>
      </w:r>
      <w:r w:rsidR="005373F3">
        <w:rPr>
          <w:rFonts w:eastAsia="Times New Roman"/>
          <w:b/>
          <w:bCs/>
          <w:lang w:val="en-US" w:eastAsia="ko-KR"/>
        </w:rPr>
        <w:t>5</w:t>
      </w:r>
      <w:r w:rsidRPr="005373F3">
        <w:rPr>
          <w:rFonts w:eastAsia="Times New Roman"/>
          <w:lang w:val="en-US" w:eastAsia="ko-KR"/>
        </w:rPr>
        <w:t>:</w:t>
      </w:r>
      <w:r w:rsidRPr="002B53A8">
        <w:rPr>
          <w:rFonts w:eastAsia="Times New Roman"/>
          <w:lang w:val="en-US" w:eastAsia="ko-KR"/>
        </w:rPr>
        <w:t> Prefer to study option-3 of TA mechanisms that the configured TA can be adjusted for the purpose of transmitting UL SRS</w:t>
      </w:r>
      <w:r w:rsidR="00025C6C">
        <w:rPr>
          <w:rFonts w:eastAsia="Times New Roman"/>
          <w:lang w:val="en-US" w:eastAsia="ko-KR"/>
        </w:rPr>
        <w:t xml:space="preserve"> for positioning</w:t>
      </w:r>
      <w:r w:rsidRPr="002B53A8">
        <w:rPr>
          <w:rFonts w:eastAsia="Times New Roman"/>
          <w:lang w:val="en-US" w:eastAsia="ko-KR"/>
        </w:rPr>
        <w:t xml:space="preserve"> intended for a neighboring cell.  </w:t>
      </w:r>
    </w:p>
    <w:p w14:paraId="77C43A88" w14:textId="77777777" w:rsidR="00873A0C" w:rsidRPr="002B53A8" w:rsidRDefault="00873A0C" w:rsidP="00873A0C">
      <w:pPr>
        <w:overflowPunct/>
        <w:autoSpaceDE/>
        <w:autoSpaceDN/>
        <w:adjustRightInd/>
        <w:spacing w:after="0"/>
        <w:rPr>
          <w:rFonts w:eastAsia="Times New Roman"/>
          <w:lang w:val="en-US" w:eastAsia="ko-KR"/>
        </w:rPr>
      </w:pPr>
    </w:p>
    <w:p w14:paraId="3E066A8B" w14:textId="77777777" w:rsidR="00873A0C" w:rsidRPr="002B53A8" w:rsidRDefault="00873A0C" w:rsidP="00873A0C">
      <w:pPr>
        <w:overflowPunct/>
        <w:autoSpaceDE/>
        <w:autoSpaceDN/>
        <w:adjustRightInd/>
        <w:spacing w:after="0"/>
        <w:rPr>
          <w:rFonts w:eastAsia="Times New Roman"/>
          <w:lang w:val="en-US" w:eastAsia="ko-KR"/>
        </w:rPr>
      </w:pPr>
      <w:r w:rsidRPr="002B53A8">
        <w:rPr>
          <w:rFonts w:eastAsia="Times New Roman"/>
          <w:lang w:val="en-US" w:eastAsia="ko-KR"/>
        </w:rPr>
        <w:t>In order to improve UL hearability through TA control enhancement, Rel-15 SRS follows the same TA control with PUSCH transmission. NR systems does not have a separate TA control for Rel-15 SRS transmission, which means TA control adopting for the data TX timing. In order to control SRS transmission toward neighbor cells, a separate TA control parameter is required for Rel-16 UL-PRS.  </w:t>
      </w:r>
    </w:p>
    <w:p w14:paraId="17322925" w14:textId="77777777" w:rsidR="00873A0C" w:rsidRPr="002B53A8" w:rsidRDefault="00873A0C" w:rsidP="00873A0C">
      <w:pPr>
        <w:overflowPunct/>
        <w:autoSpaceDE/>
        <w:autoSpaceDN/>
        <w:adjustRightInd/>
        <w:spacing w:after="0"/>
        <w:rPr>
          <w:rFonts w:eastAsia="Times New Roman"/>
          <w:lang w:val="en-US" w:eastAsia="ko-KR"/>
        </w:rPr>
      </w:pPr>
    </w:p>
    <w:p w14:paraId="7A613153" w14:textId="15DB13E1" w:rsidR="00873A0C" w:rsidRPr="002B53A8" w:rsidRDefault="00873A0C" w:rsidP="00873A0C">
      <w:pPr>
        <w:overflowPunct/>
        <w:autoSpaceDE/>
        <w:autoSpaceDN/>
        <w:adjustRightInd/>
        <w:spacing w:after="0"/>
        <w:rPr>
          <w:rFonts w:eastAsia="Times New Roman"/>
          <w:lang w:val="en-US" w:eastAsia="ko-KR"/>
        </w:rPr>
      </w:pPr>
      <w:r w:rsidRPr="005373F3">
        <w:rPr>
          <w:rFonts w:eastAsia="Times New Roman"/>
          <w:b/>
          <w:bCs/>
          <w:lang w:val="en-US" w:eastAsia="ko-KR"/>
        </w:rPr>
        <w:t>Proposal </w:t>
      </w:r>
      <w:r w:rsidR="005373F3">
        <w:rPr>
          <w:rFonts w:eastAsia="Times New Roman"/>
          <w:b/>
          <w:bCs/>
          <w:lang w:val="en-US" w:eastAsia="ko-KR"/>
        </w:rPr>
        <w:t>6</w:t>
      </w:r>
      <w:r w:rsidRPr="005373F3">
        <w:rPr>
          <w:rFonts w:eastAsia="Times New Roman"/>
          <w:lang w:val="en-US" w:eastAsia="ko-KR"/>
        </w:rPr>
        <w:t>:</w:t>
      </w:r>
      <w:r w:rsidRPr="002B53A8">
        <w:rPr>
          <w:rFonts w:eastAsia="Times New Roman"/>
          <w:lang w:val="en-US" w:eastAsia="ko-KR"/>
        </w:rPr>
        <w:t xml:space="preserve"> Consider defining UL-PRS (SRS) TA control signaling separately from </w:t>
      </w:r>
      <w:proofErr w:type="gramStart"/>
      <w:r w:rsidRPr="002B53A8">
        <w:rPr>
          <w:rFonts w:eastAsia="Times New Roman"/>
          <w:lang w:val="en-US" w:eastAsia="ko-KR"/>
        </w:rPr>
        <w:t>other</w:t>
      </w:r>
      <w:proofErr w:type="gramEnd"/>
      <w:r w:rsidRPr="002B53A8">
        <w:rPr>
          <w:rFonts w:eastAsia="Times New Roman"/>
          <w:lang w:val="en-US" w:eastAsia="ko-KR"/>
        </w:rPr>
        <w:t xml:space="preserve"> UL TX signals TA (i.e., PUSCH) in Rel-16. </w:t>
      </w:r>
    </w:p>
    <w:p w14:paraId="7DAE48E4" w14:textId="77777777" w:rsidR="00873A0C" w:rsidRPr="002B53A8" w:rsidRDefault="00873A0C" w:rsidP="00873A0C">
      <w:pPr>
        <w:rPr>
          <w:sz w:val="22"/>
          <w:szCs w:val="22"/>
          <w:highlight w:val="yellow"/>
        </w:rPr>
      </w:pPr>
    </w:p>
    <w:tbl>
      <w:tblPr>
        <w:tblStyle w:val="TableGrid"/>
        <w:tblW w:w="0" w:type="auto"/>
        <w:tblLook w:val="04A0" w:firstRow="1" w:lastRow="0" w:firstColumn="1" w:lastColumn="0" w:noHBand="0" w:noVBand="1"/>
      </w:tblPr>
      <w:tblGrid>
        <w:gridCol w:w="9629"/>
      </w:tblGrid>
      <w:tr w:rsidR="00873A0C" w14:paraId="440DCC99" w14:textId="77777777" w:rsidTr="00873A0C">
        <w:tc>
          <w:tcPr>
            <w:tcW w:w="9629" w:type="dxa"/>
          </w:tcPr>
          <w:p w14:paraId="222F49E4" w14:textId="77777777" w:rsidR="00873A0C" w:rsidRPr="00A77F6C" w:rsidRDefault="00873A0C" w:rsidP="00873A0C">
            <w:pPr>
              <w:keepNext/>
              <w:keepLines/>
              <w:spacing w:after="60"/>
              <w:rPr>
                <w:highlight w:val="green"/>
                <w:lang w:eastAsia="en-GB"/>
              </w:rPr>
            </w:pPr>
            <w:r w:rsidRPr="00A77F6C">
              <w:rPr>
                <w:highlight w:val="green"/>
                <w:lang w:eastAsia="en-GB"/>
              </w:rPr>
              <w:t>Agreements from RAN1#97:</w:t>
            </w:r>
          </w:p>
          <w:p w14:paraId="0B327B6F" w14:textId="77777777" w:rsidR="00873A0C" w:rsidRPr="00A77F6C" w:rsidRDefault="00873A0C" w:rsidP="00873A0C">
            <w:pPr>
              <w:keepNext/>
              <w:keepLines/>
              <w:spacing w:after="60"/>
              <w:rPr>
                <w:lang w:eastAsia="ko-KR"/>
              </w:rPr>
            </w:pPr>
            <w:r w:rsidRPr="00A77F6C">
              <w:rPr>
                <w:lang w:eastAsia="ko-KR"/>
              </w:rPr>
              <w:t>For positioning purposes, with regards to the UL SRS transmission power, support at least the following in addition to the existing Rel-15 behaviour:</w:t>
            </w:r>
          </w:p>
          <w:p w14:paraId="2AB60F5E" w14:textId="77777777" w:rsidR="00873A0C" w:rsidRPr="00A77F6C" w:rsidRDefault="00873A0C" w:rsidP="00873A0C">
            <w:pPr>
              <w:keepNext/>
              <w:keepLines/>
              <w:numPr>
                <w:ilvl w:val="0"/>
                <w:numId w:val="42"/>
              </w:numPr>
              <w:overflowPunct/>
              <w:autoSpaceDE/>
              <w:autoSpaceDN/>
              <w:adjustRightInd/>
              <w:spacing w:after="60"/>
              <w:textAlignment w:val="auto"/>
              <w:rPr>
                <w:lang w:eastAsia="ko-KR"/>
              </w:rPr>
            </w:pPr>
            <w:r w:rsidRPr="00A77F6C">
              <w:rPr>
                <w:lang w:eastAsia="ko-KR"/>
              </w:rPr>
              <w:t xml:space="preserve">Support configuring a DL reference signal of a neighbouring cell to be used as DL path loss reference for the purpose of SRS power control.  </w:t>
            </w:r>
          </w:p>
          <w:p w14:paraId="25784BE9" w14:textId="77777777" w:rsidR="00873A0C" w:rsidRPr="00A77F6C" w:rsidRDefault="00873A0C" w:rsidP="00873A0C">
            <w:pPr>
              <w:keepNext/>
              <w:keepLines/>
              <w:numPr>
                <w:ilvl w:val="1"/>
                <w:numId w:val="42"/>
              </w:numPr>
              <w:overflowPunct/>
              <w:autoSpaceDE/>
              <w:autoSpaceDN/>
              <w:adjustRightInd/>
              <w:spacing w:after="60"/>
              <w:textAlignment w:val="auto"/>
              <w:rPr>
                <w:lang w:eastAsia="ko-KR"/>
              </w:rPr>
            </w:pPr>
            <w:r w:rsidRPr="00A77F6C">
              <w:rPr>
                <w:lang w:eastAsia="ko-KR"/>
              </w:rPr>
              <w:t xml:space="preserve">FFS: Which reference signals can be used (e.g. a CSI-RS, or </w:t>
            </w:r>
            <w:proofErr w:type="gramStart"/>
            <w:r w:rsidRPr="00A77F6C">
              <w:rPr>
                <w:lang w:eastAsia="ko-KR"/>
              </w:rPr>
              <w:t>a</w:t>
            </w:r>
            <w:proofErr w:type="gramEnd"/>
            <w:r w:rsidRPr="00A77F6C">
              <w:rPr>
                <w:lang w:eastAsia="ko-KR"/>
              </w:rPr>
              <w:t xml:space="preserve"> SSB, or DL PRS). </w:t>
            </w:r>
          </w:p>
          <w:p w14:paraId="1304FD6B" w14:textId="77777777" w:rsidR="00873A0C" w:rsidRPr="00A77F6C" w:rsidRDefault="00873A0C" w:rsidP="00873A0C">
            <w:pPr>
              <w:keepNext/>
              <w:keepLines/>
              <w:numPr>
                <w:ilvl w:val="0"/>
                <w:numId w:val="42"/>
              </w:numPr>
              <w:overflowPunct/>
              <w:autoSpaceDE/>
              <w:autoSpaceDN/>
              <w:adjustRightInd/>
              <w:spacing w:after="60"/>
              <w:textAlignment w:val="auto"/>
              <w:rPr>
                <w:lang w:eastAsia="ko-KR"/>
              </w:rPr>
            </w:pPr>
            <w:r w:rsidRPr="00A77F6C">
              <w:rPr>
                <w:lang w:eastAsia="ko-KR"/>
              </w:rPr>
              <w:t>Study further the UE configuration signalling and procedure.</w:t>
            </w:r>
          </w:p>
          <w:p w14:paraId="417AA832" w14:textId="77777777" w:rsidR="00873A0C" w:rsidRPr="00A77F6C" w:rsidRDefault="00873A0C" w:rsidP="00873A0C">
            <w:pPr>
              <w:keepNext/>
              <w:keepLines/>
              <w:numPr>
                <w:ilvl w:val="0"/>
                <w:numId w:val="42"/>
              </w:numPr>
              <w:overflowPunct/>
              <w:autoSpaceDE/>
              <w:autoSpaceDN/>
              <w:adjustRightInd/>
              <w:spacing w:after="60"/>
              <w:textAlignment w:val="auto"/>
              <w:rPr>
                <w:lang w:eastAsia="ko-KR"/>
              </w:rPr>
            </w:pPr>
            <w:r w:rsidRPr="00A77F6C">
              <w:rPr>
                <w:lang w:eastAsia="ko-KR"/>
              </w:rPr>
              <w:t>FFS on a fallback procedure if the UE is not able to obtain the pathloss reference.</w:t>
            </w:r>
          </w:p>
          <w:p w14:paraId="19935418" w14:textId="77777777" w:rsidR="00873A0C" w:rsidRDefault="00873A0C" w:rsidP="00873A0C">
            <w:pPr>
              <w:rPr>
                <w:highlight w:val="yellow"/>
              </w:rPr>
            </w:pPr>
            <w:r w:rsidRPr="00A77F6C">
              <w:rPr>
                <w:lang w:eastAsia="ko-KR"/>
              </w:rPr>
              <w:t>FFS on number of measurements for pathloss.</w:t>
            </w:r>
          </w:p>
        </w:tc>
      </w:tr>
    </w:tbl>
    <w:p w14:paraId="606EE60B" w14:textId="77777777" w:rsidR="00873A0C" w:rsidRDefault="00873A0C" w:rsidP="00873A0C">
      <w:pPr>
        <w:rPr>
          <w:highlight w:val="yellow"/>
        </w:rPr>
      </w:pPr>
    </w:p>
    <w:p w14:paraId="197C1362" w14:textId="5181CE51" w:rsidR="00873A0C" w:rsidRPr="002B53A8" w:rsidRDefault="00873A0C" w:rsidP="00873A0C">
      <w:pPr>
        <w:overflowPunct/>
        <w:autoSpaceDE/>
        <w:autoSpaceDN/>
        <w:adjustRightInd/>
        <w:spacing w:after="0"/>
        <w:rPr>
          <w:rFonts w:ascii="Segoe UI" w:eastAsia="Times New Roman" w:hAnsi="Segoe UI" w:cs="Segoe UI"/>
          <w:lang w:val="en-US" w:eastAsia="ko-KR"/>
        </w:rPr>
      </w:pPr>
      <w:r w:rsidRPr="002B53A8">
        <w:rPr>
          <w:rFonts w:eastAsia="Times New Roman"/>
          <w:lang w:eastAsia="ko-KR"/>
        </w:rPr>
        <w:t xml:space="preserve">As illustrated in Figure </w:t>
      </w:r>
      <w:r w:rsidR="0D7B47A2" w:rsidRPr="002B53A8">
        <w:rPr>
          <w:rFonts w:eastAsia="Times New Roman"/>
          <w:lang w:eastAsia="ko-KR"/>
        </w:rPr>
        <w:t>1</w:t>
      </w:r>
      <w:r w:rsidRPr="002B53A8">
        <w:rPr>
          <w:rFonts w:eastAsia="Times New Roman"/>
          <w:lang w:eastAsia="ko-KR"/>
        </w:rPr>
        <w:t>, TX power control targeting only at the serving cell causes an issue of neighbour cell hearability. This is one part of Rel-16 SRS that can be improved for UL positioning as well. </w:t>
      </w:r>
      <w:r w:rsidRPr="002B53A8">
        <w:rPr>
          <w:rFonts w:eastAsia="Times New Roman"/>
          <w:lang w:val="en-US" w:eastAsia="ko-KR"/>
        </w:rPr>
        <w:t> </w:t>
      </w:r>
    </w:p>
    <w:p w14:paraId="480052D8" w14:textId="176F1901" w:rsidR="00873A0C" w:rsidRDefault="00873A0C" w:rsidP="00873A0C">
      <w:pPr>
        <w:overflowPunct/>
        <w:autoSpaceDE/>
        <w:autoSpaceDN/>
        <w:adjustRightInd/>
        <w:spacing w:after="0"/>
        <w:rPr>
          <w:rFonts w:eastAsia="Times New Roman"/>
          <w:lang w:eastAsia="ko-KR"/>
        </w:rPr>
      </w:pPr>
      <w:r w:rsidRPr="002B53A8">
        <w:rPr>
          <w:rFonts w:eastAsia="Times New Roman"/>
          <w:lang w:eastAsia="ko-KR"/>
        </w:rPr>
        <w:t>TX power on Rel-15 SRS transmission can be adjusted separately from PUSCH in TS 38.213. It is already possible to increase SRS TX power by 3 dB steps. </w:t>
      </w:r>
      <w:proofErr w:type="gramStart"/>
      <w:r w:rsidRPr="002B53A8">
        <w:rPr>
          <w:rFonts w:eastAsia="Times New Roman"/>
          <w:lang w:eastAsia="ko-KR"/>
        </w:rPr>
        <w:t>So</w:t>
      </w:r>
      <w:proofErr w:type="gramEnd"/>
      <w:r w:rsidRPr="002B53A8">
        <w:rPr>
          <w:rFonts w:eastAsia="Times New Roman"/>
          <w:lang w:eastAsia="ko-KR"/>
        </w:rPr>
        <w:t xml:space="preserve"> we </w:t>
      </w:r>
      <w:r w:rsidR="269A6693" w:rsidRPr="002B53A8">
        <w:rPr>
          <w:rFonts w:eastAsia="Times New Roman"/>
          <w:lang w:eastAsia="ko-KR"/>
        </w:rPr>
        <w:t>think</w:t>
      </w:r>
      <w:r w:rsidRPr="002B53A8">
        <w:rPr>
          <w:rFonts w:eastAsia="Times New Roman"/>
          <w:lang w:eastAsia="ko-KR"/>
        </w:rPr>
        <w:t> TPC will be good to reuse this signal.  TS 38.213, 7.3.1 explains SRS transmission behavio</w:t>
      </w:r>
      <w:r w:rsidR="0DA17FB7" w:rsidRPr="002B53A8">
        <w:rPr>
          <w:rFonts w:eastAsia="Times New Roman"/>
          <w:lang w:eastAsia="ko-KR"/>
        </w:rPr>
        <w:t>u</w:t>
      </w:r>
      <w:r w:rsidRPr="002B53A8">
        <w:rPr>
          <w:rFonts w:eastAsia="Times New Roman"/>
          <w:lang w:eastAsia="ko-KR"/>
        </w:rPr>
        <w:t xml:space="preserve">rs based on </w:t>
      </w:r>
      <m:oMath>
        <m:sSub>
          <m:sSubPr>
            <m:ctrlPr>
              <w:rPr>
                <w:rFonts w:ascii="Cambria Math" w:eastAsia="Times New Roman" w:hAnsi="Cambria Math"/>
                <w:i/>
                <w:lang w:eastAsia="ko-KR"/>
              </w:rPr>
            </m:ctrlPr>
          </m:sSubPr>
          <m:e>
            <m:r>
              <w:rPr>
                <w:rFonts w:ascii="Cambria Math" w:eastAsia="Times New Roman" w:hAnsi="Cambria Math"/>
                <w:lang w:eastAsia="ko-KR"/>
              </w:rPr>
              <m:t>P</m:t>
            </m:r>
          </m:e>
          <m:sub>
            <m:r>
              <w:rPr>
                <w:rFonts w:ascii="Cambria Math" w:eastAsia="Times New Roman" w:hAnsi="Cambria Math"/>
                <w:lang w:eastAsia="ko-KR"/>
              </w:rPr>
              <m:t>SRS,bf,c</m:t>
            </m:r>
          </m:sub>
        </m:sSub>
        <m:r>
          <w:rPr>
            <w:rFonts w:ascii="Cambria Math" w:eastAsia="Times New Roman" w:hAnsi="Cambria Math"/>
            <w:lang w:eastAsia="ko-KR"/>
          </w:rPr>
          <m:t>(i,q,l)</m:t>
        </m:r>
      </m:oMath>
      <w:r w:rsidRPr="002B53A8">
        <w:rPr>
          <w:rFonts w:eastAsia="Times New Roman"/>
          <w:lang w:eastAsia="ko-KR"/>
        </w:rPr>
        <w:t>  in SRS transmission occasion</w:t>
      </w:r>
      <w:r>
        <w:rPr>
          <w:rFonts w:eastAsia="Times New Roman"/>
          <w:lang w:eastAsia="ko-KR"/>
        </w:rPr>
        <w:t>, so TPC toward neighbo</w:t>
      </w:r>
      <w:r w:rsidR="0DA17FB7">
        <w:rPr>
          <w:rFonts w:eastAsia="Times New Roman"/>
          <w:lang w:eastAsia="ko-KR"/>
        </w:rPr>
        <w:t>u</w:t>
      </w:r>
      <w:r>
        <w:rPr>
          <w:rFonts w:eastAsia="Times New Roman"/>
          <w:lang w:eastAsia="ko-KR"/>
        </w:rPr>
        <w:t>r cells is close to possible with further discussion.</w:t>
      </w:r>
    </w:p>
    <w:p w14:paraId="4F7703CE" w14:textId="77777777" w:rsidR="00873A0C" w:rsidRDefault="00873A0C" w:rsidP="00873A0C">
      <w:pPr>
        <w:overflowPunct/>
        <w:autoSpaceDE/>
        <w:autoSpaceDN/>
        <w:adjustRightInd/>
        <w:spacing w:after="0"/>
        <w:rPr>
          <w:rFonts w:eastAsia="Times New Roman"/>
          <w:lang w:eastAsia="ko-KR"/>
        </w:rPr>
      </w:pPr>
    </w:p>
    <w:p w14:paraId="39D582BA" w14:textId="620F57E3" w:rsidR="009D6091" w:rsidRPr="005373F3" w:rsidRDefault="00873A0C" w:rsidP="005373F3">
      <w:pPr>
        <w:overflowPunct/>
        <w:autoSpaceDE/>
        <w:autoSpaceDN/>
        <w:adjustRightInd/>
        <w:spacing w:after="0"/>
        <w:rPr>
          <w:highlight w:val="yellow"/>
        </w:rPr>
      </w:pPr>
      <w:r>
        <w:rPr>
          <w:rFonts w:eastAsia="Times New Roman"/>
          <w:lang w:eastAsia="ko-KR"/>
        </w:rPr>
        <w:t>Regarding pathloss measurement, SSB can be a baseline, since it is a basic signal to evaluate cell link budget, and it does not need a s</w:t>
      </w:r>
      <w:r w:rsidR="0DA17FB7">
        <w:rPr>
          <w:rFonts w:eastAsia="Times New Roman"/>
          <w:lang w:eastAsia="ko-KR"/>
        </w:rPr>
        <w:t>epa</w:t>
      </w:r>
      <w:r>
        <w:rPr>
          <w:rFonts w:eastAsia="Times New Roman"/>
          <w:lang w:eastAsia="ko-KR"/>
        </w:rPr>
        <w:t>rate DL scheduling. Also, we can assume DL-PRS and CSI-RS as another candidates. A core issue of further discussion will be the complexity of measurements for TPC. Therefore, RAN1 may need to consider possible ways to measure pathloss without increasing network overhead signific</w:t>
      </w:r>
      <w:r w:rsidR="2272ADB7">
        <w:rPr>
          <w:rFonts w:eastAsia="Times New Roman"/>
          <w:lang w:eastAsia="ko-KR"/>
        </w:rPr>
        <w:t>a</w:t>
      </w:r>
      <w:r>
        <w:rPr>
          <w:rFonts w:eastAsia="Times New Roman"/>
          <w:lang w:eastAsia="ko-KR"/>
        </w:rPr>
        <w:t xml:space="preserve">ntly. </w:t>
      </w:r>
    </w:p>
    <w:p w14:paraId="048C5898" w14:textId="77777777" w:rsidR="00E11EFA" w:rsidRDefault="00E11EFA" w:rsidP="00E11EFA">
      <w:pPr>
        <w:pStyle w:val="Heading1"/>
      </w:pPr>
      <w:r>
        <w:t>Conclusion</w:t>
      </w:r>
    </w:p>
    <w:p w14:paraId="31AEB3E7" w14:textId="5AEDC699" w:rsidR="005373F3" w:rsidRDefault="005373F3" w:rsidP="00E11EFA">
      <w:pPr>
        <w:spacing w:afterLines="50" w:after="120"/>
        <w:rPr>
          <w:lang w:val="en-US"/>
        </w:rPr>
      </w:pPr>
      <w:r>
        <w:rPr>
          <w:lang w:val="en-US"/>
        </w:rPr>
        <w:t>In this contribution we make the following observation:</w:t>
      </w:r>
    </w:p>
    <w:p w14:paraId="573191FC" w14:textId="77777777" w:rsidR="005373F3" w:rsidRDefault="005373F3" w:rsidP="005373F3">
      <w:pPr>
        <w:rPr>
          <w:rFonts w:eastAsia="Times New Roman"/>
          <w:lang w:eastAsia="zh-CN"/>
        </w:rPr>
      </w:pPr>
      <w:r w:rsidRPr="001A53D4">
        <w:rPr>
          <w:rFonts w:eastAsia="Times New Roman"/>
          <w:b/>
          <w:bCs/>
          <w:lang w:eastAsia="zh-CN"/>
        </w:rPr>
        <w:t xml:space="preserve">Observation </w:t>
      </w:r>
      <w:r>
        <w:rPr>
          <w:rFonts w:eastAsia="Times New Roman"/>
          <w:b/>
          <w:bCs/>
          <w:lang w:eastAsia="zh-CN"/>
        </w:rPr>
        <w:t>1</w:t>
      </w:r>
      <w:r>
        <w:rPr>
          <w:rFonts w:eastAsia="Times New Roman"/>
          <w:lang w:eastAsia="zh-CN"/>
        </w:rPr>
        <w:t xml:space="preserve">: Although </w:t>
      </w:r>
      <w:r w:rsidRPr="00C2546B">
        <w:rPr>
          <w:lang w:val="en-US"/>
        </w:rPr>
        <w:t>use of UL beam alignment at FR2 through DL reception and beam correspondence</w:t>
      </w:r>
      <w:r>
        <w:rPr>
          <w:rFonts w:eastAsia="Times New Roman"/>
          <w:lang w:eastAsia="zh-CN"/>
        </w:rPr>
        <w:t xml:space="preserve"> is one of the straightforward solutions,</w:t>
      </w:r>
      <w:r>
        <w:rPr>
          <w:lang w:val="en-US"/>
        </w:rPr>
        <w:t xml:space="preserve"> a </w:t>
      </w:r>
      <w:r>
        <w:rPr>
          <w:rFonts w:eastAsia="Times New Roman"/>
          <w:lang w:eastAsia="zh-CN"/>
        </w:rPr>
        <w:t>UE may not measure the SSB/CSI-RS of all the cells that want to try to receive it for UL positioning.</w:t>
      </w:r>
    </w:p>
    <w:p w14:paraId="6EE8BF89" w14:textId="10BA2660" w:rsidR="005373F3" w:rsidRDefault="005373F3" w:rsidP="00E11EFA">
      <w:pPr>
        <w:spacing w:afterLines="50" w:after="120"/>
      </w:pPr>
      <w:r>
        <w:t>In this contribution we make the following proposals:</w:t>
      </w:r>
    </w:p>
    <w:p w14:paraId="63CFBDD7" w14:textId="77777777" w:rsidR="005373F3" w:rsidRDefault="005373F3" w:rsidP="005373F3">
      <w:pPr>
        <w:spacing w:afterLines="50" w:after="120"/>
        <w:rPr>
          <w:rFonts w:eastAsia="Times New Roman"/>
          <w:lang w:eastAsia="zh-CN"/>
        </w:rPr>
      </w:pPr>
      <w:r w:rsidRPr="00E24618">
        <w:rPr>
          <w:rFonts w:eastAsia="Times New Roman"/>
          <w:b/>
          <w:lang w:eastAsia="zh-CN"/>
        </w:rPr>
        <w:t xml:space="preserve">Proposal </w:t>
      </w:r>
      <w:r>
        <w:rPr>
          <w:rFonts w:eastAsia="Times New Roman"/>
          <w:b/>
          <w:lang w:eastAsia="zh-CN"/>
        </w:rPr>
        <w:t>1</w:t>
      </w:r>
      <w:r>
        <w:rPr>
          <w:rFonts w:eastAsia="Times New Roman"/>
          <w:lang w:eastAsia="zh-CN"/>
        </w:rPr>
        <w:t xml:space="preserve">: Support gNB RX beam sweeping including LMF request of number of SRS repeated transmissions. </w:t>
      </w:r>
    </w:p>
    <w:p w14:paraId="33B2C3B6" w14:textId="77777777" w:rsidR="005373F3" w:rsidRDefault="005373F3" w:rsidP="005373F3">
      <w:pPr>
        <w:spacing w:afterLines="50" w:after="120"/>
      </w:pPr>
      <w:r w:rsidRPr="00A24692">
        <w:rPr>
          <w:b/>
        </w:rPr>
        <w:t xml:space="preserve">Proposal </w:t>
      </w:r>
      <w:r>
        <w:rPr>
          <w:b/>
        </w:rPr>
        <w:t>2</w:t>
      </w:r>
      <w:r>
        <w:t xml:space="preserve">: Support UE indication of SRS TX Repetition ON with signalling to facilitate RX beam sweeping at gNBs on SRS for positioning. </w:t>
      </w:r>
    </w:p>
    <w:p w14:paraId="7BEA6416" w14:textId="77777777" w:rsidR="005373F3" w:rsidRDefault="005373F3" w:rsidP="005373F3">
      <w:pPr>
        <w:jc w:val="both"/>
      </w:pPr>
      <w:r w:rsidRPr="001A3478">
        <w:rPr>
          <w:b/>
          <w:bCs/>
        </w:rPr>
        <w:t xml:space="preserve">Proposal </w:t>
      </w:r>
      <w:r>
        <w:rPr>
          <w:b/>
          <w:bCs/>
          <w:lang w:eastAsia="zh-CN"/>
        </w:rPr>
        <w:t>3</w:t>
      </w:r>
      <w:r w:rsidRPr="001A3478">
        <w:rPr>
          <w:b/>
          <w:bCs/>
        </w:rPr>
        <w:t>:</w:t>
      </w:r>
      <w:r>
        <w:t xml:space="preserve"> Support UE requested BWP switching for PRS reception.</w:t>
      </w:r>
    </w:p>
    <w:p w14:paraId="1D40C640" w14:textId="77777777" w:rsidR="005373F3" w:rsidRDefault="005373F3" w:rsidP="005373F3">
      <w:r w:rsidRPr="005373F3">
        <w:rPr>
          <w:b/>
        </w:rPr>
        <w:t xml:space="preserve">Proposal </w:t>
      </w:r>
      <w:r w:rsidRPr="005373F3">
        <w:rPr>
          <w:b/>
          <w:lang w:eastAsia="zh-CN"/>
        </w:rPr>
        <w:t>4</w:t>
      </w:r>
      <w:r w:rsidRPr="005373F3">
        <w:rPr>
          <w:b/>
        </w:rPr>
        <w:t>:</w:t>
      </w:r>
      <w:r>
        <w:t xml:space="preserve"> Regarding Rel-16 SRS transmission for UL positioning, RAN1 needs to clarify UE transmission behaviour in UL BWP between two options</w:t>
      </w:r>
    </w:p>
    <w:p w14:paraId="59023846" w14:textId="77777777" w:rsidR="005373F3" w:rsidRDefault="005373F3" w:rsidP="005373F3">
      <w:pPr>
        <w:ind w:left="284"/>
      </w:pPr>
      <w:r>
        <w:t>(</w:t>
      </w:r>
      <w:proofErr w:type="spellStart"/>
      <w:r>
        <w:t>i</w:t>
      </w:r>
      <w:proofErr w:type="spellEnd"/>
      <w:r>
        <w:t xml:space="preserve">) transmit Rel-16 SRS for positioning </w:t>
      </w:r>
      <w:r w:rsidRPr="002B53A8">
        <w:t xml:space="preserve">within the active </w:t>
      </w:r>
      <w:r>
        <w:t xml:space="preserve">UL </w:t>
      </w:r>
      <w:r w:rsidRPr="002B53A8">
        <w:t>BWP</w:t>
      </w:r>
    </w:p>
    <w:p w14:paraId="4535CA05" w14:textId="77777777" w:rsidR="005373F3" w:rsidRPr="00620DE2" w:rsidRDefault="005373F3" w:rsidP="005373F3">
      <w:pPr>
        <w:ind w:firstLine="284"/>
      </w:pPr>
      <w:r>
        <w:t>(ii) transmit Rel-16 SRS for positioning in outside of active UL BWP (i.e. the largest BWP)</w:t>
      </w:r>
    </w:p>
    <w:p w14:paraId="505EE6F9" w14:textId="7947317B" w:rsidR="005373F3" w:rsidRDefault="005373F3" w:rsidP="00E11EFA">
      <w:pPr>
        <w:spacing w:afterLines="50" w:after="120"/>
        <w:rPr>
          <w:rFonts w:eastAsia="Times New Roman"/>
          <w:lang w:val="en-US" w:eastAsia="ko-KR"/>
        </w:rPr>
      </w:pPr>
      <w:r w:rsidRPr="005373F3">
        <w:rPr>
          <w:rFonts w:eastAsia="Times New Roman"/>
          <w:b/>
          <w:bCs/>
          <w:lang w:val="en-US" w:eastAsia="ko-KR"/>
        </w:rPr>
        <w:lastRenderedPageBreak/>
        <w:t>Proposal </w:t>
      </w:r>
      <w:r>
        <w:rPr>
          <w:rFonts w:eastAsia="Times New Roman"/>
          <w:b/>
          <w:bCs/>
          <w:lang w:val="en-US" w:eastAsia="ko-KR"/>
        </w:rPr>
        <w:t>5</w:t>
      </w:r>
      <w:r w:rsidRPr="005373F3">
        <w:rPr>
          <w:rFonts w:eastAsia="Times New Roman"/>
          <w:lang w:val="en-US" w:eastAsia="ko-KR"/>
        </w:rPr>
        <w:t>:</w:t>
      </w:r>
      <w:r w:rsidRPr="002B53A8">
        <w:rPr>
          <w:rFonts w:eastAsia="Times New Roman"/>
          <w:lang w:val="en-US" w:eastAsia="ko-KR"/>
        </w:rPr>
        <w:t> Prefer to study option-3 of TA mechanisms that the configured TA can be adjusted for the purpose of transmitting UL SRS</w:t>
      </w:r>
      <w:r>
        <w:rPr>
          <w:rFonts w:eastAsia="Times New Roman"/>
          <w:lang w:val="en-US" w:eastAsia="ko-KR"/>
        </w:rPr>
        <w:t xml:space="preserve"> for positioning</w:t>
      </w:r>
      <w:r w:rsidRPr="002B53A8">
        <w:rPr>
          <w:rFonts w:eastAsia="Times New Roman"/>
          <w:lang w:val="en-US" w:eastAsia="ko-KR"/>
        </w:rPr>
        <w:t xml:space="preserve"> intended for a neighboring cell.  </w:t>
      </w:r>
    </w:p>
    <w:p w14:paraId="3B422D33" w14:textId="4D8CB3B8" w:rsidR="005373F3" w:rsidRPr="005373F3" w:rsidRDefault="005373F3" w:rsidP="005373F3">
      <w:pPr>
        <w:overflowPunct/>
        <w:autoSpaceDE/>
        <w:autoSpaceDN/>
        <w:adjustRightInd/>
        <w:spacing w:after="0"/>
        <w:rPr>
          <w:rFonts w:eastAsia="Times New Roman"/>
          <w:lang w:val="en-US" w:eastAsia="ko-KR"/>
        </w:rPr>
      </w:pPr>
      <w:r w:rsidRPr="005373F3">
        <w:rPr>
          <w:rFonts w:eastAsia="Times New Roman"/>
          <w:b/>
          <w:bCs/>
          <w:lang w:val="en-US" w:eastAsia="ko-KR"/>
        </w:rPr>
        <w:t>Proposal </w:t>
      </w:r>
      <w:r>
        <w:rPr>
          <w:rFonts w:eastAsia="Times New Roman"/>
          <w:b/>
          <w:bCs/>
          <w:lang w:val="en-US" w:eastAsia="ko-KR"/>
        </w:rPr>
        <w:t>6</w:t>
      </w:r>
      <w:r w:rsidRPr="005373F3">
        <w:rPr>
          <w:rFonts w:eastAsia="Times New Roman"/>
          <w:lang w:val="en-US" w:eastAsia="ko-KR"/>
        </w:rPr>
        <w:t>:</w:t>
      </w:r>
      <w:r w:rsidRPr="002B53A8">
        <w:rPr>
          <w:rFonts w:eastAsia="Times New Roman"/>
          <w:lang w:val="en-US" w:eastAsia="ko-KR"/>
        </w:rPr>
        <w:t xml:space="preserve"> Consider defining UL-PRS (SRS) TA control signaling separately from </w:t>
      </w:r>
      <w:proofErr w:type="gramStart"/>
      <w:r w:rsidRPr="002B53A8">
        <w:rPr>
          <w:rFonts w:eastAsia="Times New Roman"/>
          <w:lang w:val="en-US" w:eastAsia="ko-KR"/>
        </w:rPr>
        <w:t>other</w:t>
      </w:r>
      <w:proofErr w:type="gramEnd"/>
      <w:r w:rsidRPr="002B53A8">
        <w:rPr>
          <w:rFonts w:eastAsia="Times New Roman"/>
          <w:lang w:val="en-US" w:eastAsia="ko-KR"/>
        </w:rPr>
        <w:t xml:space="preserve"> UL TX signals TA (i.e., PUSCH) in Rel-16. </w:t>
      </w:r>
    </w:p>
    <w:p w14:paraId="13163F6A" w14:textId="77777777" w:rsidR="00E11EFA" w:rsidRPr="00ED1327" w:rsidRDefault="00E11EFA" w:rsidP="00E11EFA">
      <w:pPr>
        <w:pStyle w:val="Heading1"/>
        <w:numPr>
          <w:ilvl w:val="0"/>
          <w:numId w:val="0"/>
        </w:numPr>
      </w:pPr>
      <w:r>
        <w:t>References</w:t>
      </w:r>
    </w:p>
    <w:p w14:paraId="578B8F16" w14:textId="77777777" w:rsidR="00E11EFA" w:rsidRDefault="00E11EFA" w:rsidP="00E11EFA">
      <w:pPr>
        <w:pStyle w:val="ListParagraph"/>
        <w:numPr>
          <w:ilvl w:val="0"/>
          <w:numId w:val="16"/>
        </w:numPr>
        <w:rPr>
          <w:sz w:val="20"/>
          <w:szCs w:val="20"/>
          <w:lang w:val="en-US"/>
        </w:rPr>
      </w:pPr>
      <w:r w:rsidRPr="00A04263">
        <w:rPr>
          <w:sz w:val="20"/>
          <w:szCs w:val="20"/>
          <w:lang w:val="en-US"/>
        </w:rPr>
        <w:t xml:space="preserve">RP-190723, “New WID: NR Positioning Support”, Intel Corporation, Ericsson, RAN#83, Shenzhen, China, March 18-21, 2019. </w:t>
      </w:r>
    </w:p>
    <w:p w14:paraId="1FFD2712" w14:textId="01AB7BA1" w:rsidR="00E11EFA" w:rsidRDefault="00E11EFA" w:rsidP="00E11EFA">
      <w:pPr>
        <w:pStyle w:val="ListParagraph"/>
        <w:numPr>
          <w:ilvl w:val="0"/>
          <w:numId w:val="16"/>
        </w:numPr>
        <w:rPr>
          <w:sz w:val="20"/>
          <w:szCs w:val="20"/>
          <w:lang w:val="en-US"/>
        </w:rPr>
      </w:pPr>
      <w:r>
        <w:rPr>
          <w:sz w:val="20"/>
          <w:szCs w:val="20"/>
          <w:lang w:val="en-US"/>
        </w:rPr>
        <w:t>R1-19</w:t>
      </w:r>
      <w:r w:rsidR="00972AC5" w:rsidRPr="005373F3">
        <w:rPr>
          <w:sz w:val="20"/>
          <w:szCs w:val="20"/>
          <w:lang w:val="en-US"/>
        </w:rPr>
        <w:t>08346</w:t>
      </w:r>
      <w:r>
        <w:rPr>
          <w:sz w:val="20"/>
          <w:szCs w:val="20"/>
          <w:lang w:val="en-US"/>
        </w:rPr>
        <w:t>, “Views on DL reference signals for NR Positioning”, Nokia, Nokia Shanghai Bell, RAN1#</w:t>
      </w:r>
      <w:bookmarkStart w:id="4" w:name="_Hlk13822253"/>
      <w:r>
        <w:rPr>
          <w:sz w:val="20"/>
          <w:szCs w:val="20"/>
          <w:lang w:val="en-US"/>
        </w:rPr>
        <w:t>98, Prague, CZ.</w:t>
      </w:r>
      <w:bookmarkEnd w:id="4"/>
    </w:p>
    <w:p w14:paraId="4DD09C7A" w14:textId="2AB29300" w:rsidR="00E11EFA" w:rsidRPr="00DC6769" w:rsidRDefault="00E11EFA" w:rsidP="00E11EFA">
      <w:pPr>
        <w:pStyle w:val="ListParagraph"/>
        <w:numPr>
          <w:ilvl w:val="0"/>
          <w:numId w:val="16"/>
        </w:numPr>
        <w:rPr>
          <w:sz w:val="20"/>
          <w:szCs w:val="20"/>
          <w:lang w:val="en-US"/>
        </w:rPr>
      </w:pPr>
      <w:r>
        <w:rPr>
          <w:sz w:val="20"/>
          <w:szCs w:val="20"/>
          <w:lang w:val="en-US"/>
        </w:rPr>
        <w:t>R1-19</w:t>
      </w:r>
      <w:r w:rsidR="00972AC5" w:rsidRPr="005373F3">
        <w:rPr>
          <w:sz w:val="20"/>
          <w:szCs w:val="20"/>
          <w:lang w:val="en-US"/>
        </w:rPr>
        <w:t>08347</w:t>
      </w:r>
      <w:r>
        <w:rPr>
          <w:sz w:val="20"/>
          <w:szCs w:val="20"/>
          <w:lang w:val="en-US"/>
        </w:rPr>
        <w:t>, “Views on UL reference signals for NR Positioning”, Nokia, Nokia Shanghai Bell, RAN1#98, Prague, CZ.</w:t>
      </w:r>
    </w:p>
    <w:p w14:paraId="570FE456" w14:textId="1FBE33BB" w:rsidR="00E11EFA" w:rsidRDefault="00E11EFA" w:rsidP="00E11EFA">
      <w:pPr>
        <w:pStyle w:val="ListParagraph"/>
        <w:numPr>
          <w:ilvl w:val="0"/>
          <w:numId w:val="16"/>
        </w:numPr>
        <w:rPr>
          <w:sz w:val="20"/>
          <w:szCs w:val="20"/>
          <w:lang w:val="en-US"/>
        </w:rPr>
      </w:pPr>
      <w:bookmarkStart w:id="5" w:name="_Hlk4508146"/>
      <w:r w:rsidRPr="00D05105">
        <w:rPr>
          <w:sz w:val="20"/>
          <w:szCs w:val="20"/>
          <w:lang w:val="en-US"/>
        </w:rPr>
        <w:t>R1-19</w:t>
      </w:r>
      <w:r w:rsidR="00972AC5" w:rsidRPr="005373F3">
        <w:rPr>
          <w:sz w:val="20"/>
          <w:szCs w:val="20"/>
          <w:lang w:val="en-US"/>
        </w:rPr>
        <w:t>08348</w:t>
      </w:r>
      <w:r w:rsidRPr="00D05105">
        <w:rPr>
          <w:sz w:val="20"/>
          <w:szCs w:val="20"/>
          <w:lang w:val="en-US"/>
        </w:rPr>
        <w:t>, “</w:t>
      </w:r>
      <w:r w:rsidR="00AB7168">
        <w:rPr>
          <w:sz w:val="20"/>
          <w:szCs w:val="20"/>
          <w:lang w:val="en-US"/>
        </w:rPr>
        <w:t>Measurements</w:t>
      </w:r>
      <w:r w:rsidRPr="00D05105">
        <w:rPr>
          <w:sz w:val="20"/>
          <w:szCs w:val="20"/>
          <w:lang w:val="en-US"/>
        </w:rPr>
        <w:t xml:space="preserve"> for NR Positioning”, Nokia, Nokia Shanghai Bell, </w:t>
      </w:r>
      <w:r>
        <w:rPr>
          <w:sz w:val="20"/>
          <w:szCs w:val="20"/>
          <w:lang w:val="en-US"/>
        </w:rPr>
        <w:t>RAN1#98, Prague, CZ.</w:t>
      </w:r>
      <w:r w:rsidRPr="00D05105">
        <w:rPr>
          <w:sz w:val="20"/>
          <w:szCs w:val="20"/>
          <w:lang w:val="en-US"/>
        </w:rPr>
        <w:t xml:space="preserve"> </w:t>
      </w:r>
    </w:p>
    <w:p w14:paraId="17B7A64A" w14:textId="77777777" w:rsidR="00E11EFA" w:rsidRPr="00C63848" w:rsidRDefault="00E11EFA" w:rsidP="00E11EFA">
      <w:pPr>
        <w:pStyle w:val="ListParagraph"/>
        <w:ind w:left="360"/>
        <w:rPr>
          <w:sz w:val="20"/>
          <w:szCs w:val="20"/>
          <w:lang w:val="en-US"/>
        </w:rPr>
      </w:pPr>
    </w:p>
    <w:bookmarkEnd w:id="5"/>
    <w:p w14:paraId="7B731FB3" w14:textId="77777777" w:rsidR="00E11EFA" w:rsidRPr="00C63848" w:rsidRDefault="00E11EFA" w:rsidP="00E11EFA">
      <w:pPr>
        <w:pStyle w:val="ListParagraph"/>
        <w:ind w:left="360"/>
        <w:rPr>
          <w:sz w:val="20"/>
          <w:szCs w:val="20"/>
          <w:lang w:val="en-US"/>
        </w:rPr>
      </w:pPr>
    </w:p>
    <w:p w14:paraId="7FF5F37B" w14:textId="77777777" w:rsidR="00961EE9" w:rsidRPr="00E11EFA" w:rsidRDefault="00961EE9" w:rsidP="00E11EFA"/>
    <w:sectPr w:rsidR="00961EE9" w:rsidRPr="00E11EFA" w:rsidSect="001A347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507A3F" w14:textId="77777777" w:rsidR="00EB0792" w:rsidRDefault="00EB0792">
      <w:r>
        <w:separator/>
      </w:r>
    </w:p>
  </w:endnote>
  <w:endnote w:type="continuationSeparator" w:id="0">
    <w:p w14:paraId="64CA70E6" w14:textId="77777777" w:rsidR="00EB0792" w:rsidRDefault="00EB0792">
      <w:r>
        <w:continuationSeparator/>
      </w:r>
    </w:p>
  </w:endnote>
  <w:endnote w:type="continuationNotice" w:id="1">
    <w:p w14:paraId="2AC5FC6A" w14:textId="77777777" w:rsidR="00EB0792" w:rsidRDefault="00EB07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D7B65" w14:textId="77777777" w:rsidR="00EB0792" w:rsidRDefault="00EB0792">
      <w:r>
        <w:separator/>
      </w:r>
    </w:p>
  </w:footnote>
  <w:footnote w:type="continuationSeparator" w:id="0">
    <w:p w14:paraId="176E2887" w14:textId="77777777" w:rsidR="00EB0792" w:rsidRDefault="00EB0792">
      <w:r>
        <w:continuationSeparator/>
      </w:r>
    </w:p>
  </w:footnote>
  <w:footnote w:type="continuationNotice" w:id="1">
    <w:p w14:paraId="6BA9EFE4" w14:textId="77777777" w:rsidR="00EB0792" w:rsidRDefault="00EB07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F060B1"/>
    <w:multiLevelType w:val="hybridMultilevel"/>
    <w:tmpl w:val="AF0E3492"/>
    <w:lvl w:ilvl="0" w:tplc="23085E7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7550A7F"/>
    <w:multiLevelType w:val="hybridMultilevel"/>
    <w:tmpl w:val="AF306818"/>
    <w:lvl w:ilvl="0" w:tplc="EDC4FCE6">
      <w:start w:val="1"/>
      <w:numFmt w:val="bullet"/>
      <w:lvlText w:val=""/>
      <w:lvlJc w:val="left"/>
      <w:pPr>
        <w:tabs>
          <w:tab w:val="num" w:pos="720"/>
        </w:tabs>
        <w:ind w:left="720" w:hanging="360"/>
      </w:pPr>
      <w:rPr>
        <w:rFonts w:ascii="Symbol" w:hAnsi="Symbol" w:hint="default"/>
      </w:rPr>
    </w:lvl>
    <w:lvl w:ilvl="1" w:tplc="C8F29ED0">
      <w:start w:val="78"/>
      <w:numFmt w:val="bullet"/>
      <w:lvlText w:val="o"/>
      <w:lvlJc w:val="left"/>
      <w:pPr>
        <w:tabs>
          <w:tab w:val="num" w:pos="1440"/>
        </w:tabs>
        <w:ind w:left="1440" w:hanging="360"/>
      </w:pPr>
      <w:rPr>
        <w:rFonts w:ascii="Courier New" w:hAnsi="Courier New" w:hint="default"/>
      </w:rPr>
    </w:lvl>
    <w:lvl w:ilvl="2" w:tplc="408A51D8" w:tentative="1">
      <w:start w:val="1"/>
      <w:numFmt w:val="bullet"/>
      <w:lvlText w:val=""/>
      <w:lvlJc w:val="left"/>
      <w:pPr>
        <w:tabs>
          <w:tab w:val="num" w:pos="2160"/>
        </w:tabs>
        <w:ind w:left="2160" w:hanging="360"/>
      </w:pPr>
      <w:rPr>
        <w:rFonts w:ascii="Symbol" w:hAnsi="Symbol" w:hint="default"/>
      </w:rPr>
    </w:lvl>
    <w:lvl w:ilvl="3" w:tplc="1D5EDEFA" w:tentative="1">
      <w:start w:val="1"/>
      <w:numFmt w:val="bullet"/>
      <w:lvlText w:val=""/>
      <w:lvlJc w:val="left"/>
      <w:pPr>
        <w:tabs>
          <w:tab w:val="num" w:pos="2880"/>
        </w:tabs>
        <w:ind w:left="2880" w:hanging="360"/>
      </w:pPr>
      <w:rPr>
        <w:rFonts w:ascii="Symbol" w:hAnsi="Symbol" w:hint="default"/>
      </w:rPr>
    </w:lvl>
    <w:lvl w:ilvl="4" w:tplc="C070348C" w:tentative="1">
      <w:start w:val="1"/>
      <w:numFmt w:val="bullet"/>
      <w:lvlText w:val=""/>
      <w:lvlJc w:val="left"/>
      <w:pPr>
        <w:tabs>
          <w:tab w:val="num" w:pos="3600"/>
        </w:tabs>
        <w:ind w:left="3600" w:hanging="360"/>
      </w:pPr>
      <w:rPr>
        <w:rFonts w:ascii="Symbol" w:hAnsi="Symbol" w:hint="default"/>
      </w:rPr>
    </w:lvl>
    <w:lvl w:ilvl="5" w:tplc="55204202" w:tentative="1">
      <w:start w:val="1"/>
      <w:numFmt w:val="bullet"/>
      <w:lvlText w:val=""/>
      <w:lvlJc w:val="left"/>
      <w:pPr>
        <w:tabs>
          <w:tab w:val="num" w:pos="4320"/>
        </w:tabs>
        <w:ind w:left="4320" w:hanging="360"/>
      </w:pPr>
      <w:rPr>
        <w:rFonts w:ascii="Symbol" w:hAnsi="Symbol" w:hint="default"/>
      </w:rPr>
    </w:lvl>
    <w:lvl w:ilvl="6" w:tplc="A2CAB6E8" w:tentative="1">
      <w:start w:val="1"/>
      <w:numFmt w:val="bullet"/>
      <w:lvlText w:val=""/>
      <w:lvlJc w:val="left"/>
      <w:pPr>
        <w:tabs>
          <w:tab w:val="num" w:pos="5040"/>
        </w:tabs>
        <w:ind w:left="5040" w:hanging="360"/>
      </w:pPr>
      <w:rPr>
        <w:rFonts w:ascii="Symbol" w:hAnsi="Symbol" w:hint="default"/>
      </w:rPr>
    </w:lvl>
    <w:lvl w:ilvl="7" w:tplc="734A5982" w:tentative="1">
      <w:start w:val="1"/>
      <w:numFmt w:val="bullet"/>
      <w:lvlText w:val=""/>
      <w:lvlJc w:val="left"/>
      <w:pPr>
        <w:tabs>
          <w:tab w:val="num" w:pos="5760"/>
        </w:tabs>
        <w:ind w:left="5760" w:hanging="360"/>
      </w:pPr>
      <w:rPr>
        <w:rFonts w:ascii="Symbol" w:hAnsi="Symbol" w:hint="default"/>
      </w:rPr>
    </w:lvl>
    <w:lvl w:ilvl="8" w:tplc="2C1A34C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986C80"/>
    <w:multiLevelType w:val="hybridMultilevel"/>
    <w:tmpl w:val="5A140D54"/>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84A0002"/>
    <w:multiLevelType w:val="hybridMultilevel"/>
    <w:tmpl w:val="DD3E3D00"/>
    <w:lvl w:ilvl="0" w:tplc="6E5C4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FF35E2"/>
    <w:multiLevelType w:val="hybridMultilevel"/>
    <w:tmpl w:val="ADCAD3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28550151"/>
    <w:multiLevelType w:val="hybridMultilevel"/>
    <w:tmpl w:val="6D8C2DE6"/>
    <w:lvl w:ilvl="0" w:tplc="3EFE2910">
      <w:start w:val="1"/>
      <w:numFmt w:val="bullet"/>
      <w:lvlText w:val="•"/>
      <w:lvlJc w:val="left"/>
      <w:pPr>
        <w:tabs>
          <w:tab w:val="num" w:pos="720"/>
        </w:tabs>
        <w:ind w:left="720" w:hanging="360"/>
      </w:pPr>
      <w:rPr>
        <w:rFonts w:ascii="Arial" w:hAnsi="Arial" w:hint="default"/>
      </w:rPr>
    </w:lvl>
    <w:lvl w:ilvl="1" w:tplc="B0E6F9B4" w:tentative="1">
      <w:start w:val="1"/>
      <w:numFmt w:val="bullet"/>
      <w:lvlText w:val="•"/>
      <w:lvlJc w:val="left"/>
      <w:pPr>
        <w:tabs>
          <w:tab w:val="num" w:pos="1440"/>
        </w:tabs>
        <w:ind w:left="1440" w:hanging="360"/>
      </w:pPr>
      <w:rPr>
        <w:rFonts w:ascii="Arial" w:hAnsi="Arial" w:hint="default"/>
      </w:rPr>
    </w:lvl>
    <w:lvl w:ilvl="2" w:tplc="15F26868" w:tentative="1">
      <w:start w:val="1"/>
      <w:numFmt w:val="bullet"/>
      <w:lvlText w:val="•"/>
      <w:lvlJc w:val="left"/>
      <w:pPr>
        <w:tabs>
          <w:tab w:val="num" w:pos="2160"/>
        </w:tabs>
        <w:ind w:left="2160" w:hanging="360"/>
      </w:pPr>
      <w:rPr>
        <w:rFonts w:ascii="Arial" w:hAnsi="Arial" w:hint="default"/>
      </w:rPr>
    </w:lvl>
    <w:lvl w:ilvl="3" w:tplc="CAFA5506" w:tentative="1">
      <w:start w:val="1"/>
      <w:numFmt w:val="bullet"/>
      <w:lvlText w:val="•"/>
      <w:lvlJc w:val="left"/>
      <w:pPr>
        <w:tabs>
          <w:tab w:val="num" w:pos="2880"/>
        </w:tabs>
        <w:ind w:left="2880" w:hanging="360"/>
      </w:pPr>
      <w:rPr>
        <w:rFonts w:ascii="Arial" w:hAnsi="Arial" w:hint="default"/>
      </w:rPr>
    </w:lvl>
    <w:lvl w:ilvl="4" w:tplc="58B6D048" w:tentative="1">
      <w:start w:val="1"/>
      <w:numFmt w:val="bullet"/>
      <w:lvlText w:val="•"/>
      <w:lvlJc w:val="left"/>
      <w:pPr>
        <w:tabs>
          <w:tab w:val="num" w:pos="3600"/>
        </w:tabs>
        <w:ind w:left="3600" w:hanging="360"/>
      </w:pPr>
      <w:rPr>
        <w:rFonts w:ascii="Arial" w:hAnsi="Arial" w:hint="default"/>
      </w:rPr>
    </w:lvl>
    <w:lvl w:ilvl="5" w:tplc="D0F8789E" w:tentative="1">
      <w:start w:val="1"/>
      <w:numFmt w:val="bullet"/>
      <w:lvlText w:val="•"/>
      <w:lvlJc w:val="left"/>
      <w:pPr>
        <w:tabs>
          <w:tab w:val="num" w:pos="4320"/>
        </w:tabs>
        <w:ind w:left="4320" w:hanging="360"/>
      </w:pPr>
      <w:rPr>
        <w:rFonts w:ascii="Arial" w:hAnsi="Arial" w:hint="default"/>
      </w:rPr>
    </w:lvl>
    <w:lvl w:ilvl="6" w:tplc="A1D60B70" w:tentative="1">
      <w:start w:val="1"/>
      <w:numFmt w:val="bullet"/>
      <w:lvlText w:val="•"/>
      <w:lvlJc w:val="left"/>
      <w:pPr>
        <w:tabs>
          <w:tab w:val="num" w:pos="5040"/>
        </w:tabs>
        <w:ind w:left="5040" w:hanging="360"/>
      </w:pPr>
      <w:rPr>
        <w:rFonts w:ascii="Arial" w:hAnsi="Arial" w:hint="default"/>
      </w:rPr>
    </w:lvl>
    <w:lvl w:ilvl="7" w:tplc="32C88506" w:tentative="1">
      <w:start w:val="1"/>
      <w:numFmt w:val="bullet"/>
      <w:lvlText w:val="•"/>
      <w:lvlJc w:val="left"/>
      <w:pPr>
        <w:tabs>
          <w:tab w:val="num" w:pos="5760"/>
        </w:tabs>
        <w:ind w:left="5760" w:hanging="360"/>
      </w:pPr>
      <w:rPr>
        <w:rFonts w:ascii="Arial" w:hAnsi="Arial" w:hint="default"/>
      </w:rPr>
    </w:lvl>
    <w:lvl w:ilvl="8" w:tplc="BF0A7B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1F1868"/>
    <w:multiLevelType w:val="multilevel"/>
    <w:tmpl w:val="1A52288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442969"/>
    <w:multiLevelType w:val="hybridMultilevel"/>
    <w:tmpl w:val="ADA40A76"/>
    <w:lvl w:ilvl="0" w:tplc="D5269444">
      <w:start w:val="1"/>
      <w:numFmt w:val="bullet"/>
      <w:lvlText w:val=""/>
      <w:lvlJc w:val="left"/>
      <w:pPr>
        <w:tabs>
          <w:tab w:val="num" w:pos="720"/>
        </w:tabs>
        <w:ind w:left="720" w:hanging="360"/>
      </w:pPr>
      <w:rPr>
        <w:rFonts w:ascii="Symbol" w:hAnsi="Symbol" w:hint="default"/>
      </w:rPr>
    </w:lvl>
    <w:lvl w:ilvl="1" w:tplc="64E8B652">
      <w:start w:val="114"/>
      <w:numFmt w:val="bullet"/>
      <w:lvlText w:val="o"/>
      <w:lvlJc w:val="left"/>
      <w:pPr>
        <w:tabs>
          <w:tab w:val="num" w:pos="1440"/>
        </w:tabs>
        <w:ind w:left="1440" w:hanging="360"/>
      </w:pPr>
      <w:rPr>
        <w:rFonts w:ascii="Courier New" w:hAnsi="Courier New" w:hint="default"/>
      </w:rPr>
    </w:lvl>
    <w:lvl w:ilvl="2" w:tplc="1E32DA4E" w:tentative="1">
      <w:start w:val="1"/>
      <w:numFmt w:val="bullet"/>
      <w:lvlText w:val=""/>
      <w:lvlJc w:val="left"/>
      <w:pPr>
        <w:tabs>
          <w:tab w:val="num" w:pos="2160"/>
        </w:tabs>
        <w:ind w:left="2160" w:hanging="360"/>
      </w:pPr>
      <w:rPr>
        <w:rFonts w:ascii="Symbol" w:hAnsi="Symbol" w:hint="default"/>
      </w:rPr>
    </w:lvl>
    <w:lvl w:ilvl="3" w:tplc="8D825D10" w:tentative="1">
      <w:start w:val="1"/>
      <w:numFmt w:val="bullet"/>
      <w:lvlText w:val=""/>
      <w:lvlJc w:val="left"/>
      <w:pPr>
        <w:tabs>
          <w:tab w:val="num" w:pos="2880"/>
        </w:tabs>
        <w:ind w:left="2880" w:hanging="360"/>
      </w:pPr>
      <w:rPr>
        <w:rFonts w:ascii="Symbol" w:hAnsi="Symbol" w:hint="default"/>
      </w:rPr>
    </w:lvl>
    <w:lvl w:ilvl="4" w:tplc="BAA4DF68" w:tentative="1">
      <w:start w:val="1"/>
      <w:numFmt w:val="bullet"/>
      <w:lvlText w:val=""/>
      <w:lvlJc w:val="left"/>
      <w:pPr>
        <w:tabs>
          <w:tab w:val="num" w:pos="3600"/>
        </w:tabs>
        <w:ind w:left="3600" w:hanging="360"/>
      </w:pPr>
      <w:rPr>
        <w:rFonts w:ascii="Symbol" w:hAnsi="Symbol" w:hint="default"/>
      </w:rPr>
    </w:lvl>
    <w:lvl w:ilvl="5" w:tplc="16122084" w:tentative="1">
      <w:start w:val="1"/>
      <w:numFmt w:val="bullet"/>
      <w:lvlText w:val=""/>
      <w:lvlJc w:val="left"/>
      <w:pPr>
        <w:tabs>
          <w:tab w:val="num" w:pos="4320"/>
        </w:tabs>
        <w:ind w:left="4320" w:hanging="360"/>
      </w:pPr>
      <w:rPr>
        <w:rFonts w:ascii="Symbol" w:hAnsi="Symbol" w:hint="default"/>
      </w:rPr>
    </w:lvl>
    <w:lvl w:ilvl="6" w:tplc="BE02E678" w:tentative="1">
      <w:start w:val="1"/>
      <w:numFmt w:val="bullet"/>
      <w:lvlText w:val=""/>
      <w:lvlJc w:val="left"/>
      <w:pPr>
        <w:tabs>
          <w:tab w:val="num" w:pos="5040"/>
        </w:tabs>
        <w:ind w:left="5040" w:hanging="360"/>
      </w:pPr>
      <w:rPr>
        <w:rFonts w:ascii="Symbol" w:hAnsi="Symbol" w:hint="default"/>
      </w:rPr>
    </w:lvl>
    <w:lvl w:ilvl="7" w:tplc="243A3A30" w:tentative="1">
      <w:start w:val="1"/>
      <w:numFmt w:val="bullet"/>
      <w:lvlText w:val=""/>
      <w:lvlJc w:val="left"/>
      <w:pPr>
        <w:tabs>
          <w:tab w:val="num" w:pos="5760"/>
        </w:tabs>
        <w:ind w:left="5760" w:hanging="360"/>
      </w:pPr>
      <w:rPr>
        <w:rFonts w:ascii="Symbol" w:hAnsi="Symbol" w:hint="default"/>
      </w:rPr>
    </w:lvl>
    <w:lvl w:ilvl="8" w:tplc="C360C25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2BF07FF"/>
    <w:multiLevelType w:val="hybridMultilevel"/>
    <w:tmpl w:val="08F4C8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5" w15:restartNumberingAfterBreak="0">
    <w:nsid w:val="3370173F"/>
    <w:multiLevelType w:val="hybridMultilevel"/>
    <w:tmpl w:val="09147D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74441"/>
    <w:multiLevelType w:val="hybridMultilevel"/>
    <w:tmpl w:val="C074A8E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8116790"/>
    <w:multiLevelType w:val="hybridMultilevel"/>
    <w:tmpl w:val="838E5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9981C22"/>
    <w:multiLevelType w:val="hybridMultilevel"/>
    <w:tmpl w:val="764CD7E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52F12FDB"/>
    <w:multiLevelType w:val="hybridMultilevel"/>
    <w:tmpl w:val="40C893C0"/>
    <w:lvl w:ilvl="0" w:tplc="A448F838">
      <w:start w:val="1"/>
      <w:numFmt w:val="lowerRoman"/>
      <w:lvlText w:val="%1."/>
      <w:lvlJc w:val="left"/>
      <w:pPr>
        <w:ind w:left="720" w:hanging="360"/>
      </w:pPr>
    </w:lvl>
    <w:lvl w:ilvl="1" w:tplc="27B229C8">
      <w:start w:val="1"/>
      <w:numFmt w:val="lowerLetter"/>
      <w:lvlText w:val="%2."/>
      <w:lvlJc w:val="left"/>
      <w:pPr>
        <w:ind w:left="1440" w:hanging="360"/>
      </w:pPr>
    </w:lvl>
    <w:lvl w:ilvl="2" w:tplc="302EB554">
      <w:start w:val="1"/>
      <w:numFmt w:val="lowerRoman"/>
      <w:lvlText w:val="%3."/>
      <w:lvlJc w:val="right"/>
      <w:pPr>
        <w:ind w:left="2160" w:hanging="180"/>
      </w:pPr>
    </w:lvl>
    <w:lvl w:ilvl="3" w:tplc="E2CC5B6E">
      <w:start w:val="1"/>
      <w:numFmt w:val="decimal"/>
      <w:lvlText w:val="%4."/>
      <w:lvlJc w:val="left"/>
      <w:pPr>
        <w:ind w:left="2880" w:hanging="360"/>
      </w:pPr>
    </w:lvl>
    <w:lvl w:ilvl="4" w:tplc="F95E2538">
      <w:start w:val="1"/>
      <w:numFmt w:val="lowerLetter"/>
      <w:lvlText w:val="%5."/>
      <w:lvlJc w:val="left"/>
      <w:pPr>
        <w:ind w:left="3600" w:hanging="360"/>
      </w:pPr>
    </w:lvl>
    <w:lvl w:ilvl="5" w:tplc="610A1752">
      <w:start w:val="1"/>
      <w:numFmt w:val="lowerRoman"/>
      <w:lvlText w:val="%6."/>
      <w:lvlJc w:val="right"/>
      <w:pPr>
        <w:ind w:left="4320" w:hanging="180"/>
      </w:pPr>
    </w:lvl>
    <w:lvl w:ilvl="6" w:tplc="F0C2E4BA">
      <w:start w:val="1"/>
      <w:numFmt w:val="decimal"/>
      <w:lvlText w:val="%7."/>
      <w:lvlJc w:val="left"/>
      <w:pPr>
        <w:ind w:left="5040" w:hanging="360"/>
      </w:pPr>
    </w:lvl>
    <w:lvl w:ilvl="7" w:tplc="52B206B0">
      <w:start w:val="1"/>
      <w:numFmt w:val="lowerLetter"/>
      <w:lvlText w:val="%8."/>
      <w:lvlJc w:val="left"/>
      <w:pPr>
        <w:ind w:left="5760" w:hanging="360"/>
      </w:pPr>
    </w:lvl>
    <w:lvl w:ilvl="8" w:tplc="C6BEDE04">
      <w:start w:val="1"/>
      <w:numFmt w:val="lowerRoman"/>
      <w:lvlText w:val="%9."/>
      <w:lvlJc w:val="right"/>
      <w:pPr>
        <w:ind w:left="6480" w:hanging="180"/>
      </w:pPr>
    </w:lvl>
  </w:abstractNum>
  <w:abstractNum w:abstractNumId="2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0" w15:restartNumberingAfterBreak="0">
    <w:nsid w:val="6458409B"/>
    <w:multiLevelType w:val="hybridMultilevel"/>
    <w:tmpl w:val="5D666428"/>
    <w:lvl w:ilvl="0" w:tplc="DB32B946">
      <w:start w:val="1"/>
      <w:numFmt w:val="bullet"/>
      <w:lvlText w:val=""/>
      <w:lvlJc w:val="left"/>
      <w:pPr>
        <w:ind w:left="720" w:hanging="360"/>
      </w:pPr>
      <w:rPr>
        <w:rFonts w:ascii="Symbol" w:hAnsi="Symbol" w:hint="default"/>
      </w:rPr>
    </w:lvl>
    <w:lvl w:ilvl="1" w:tplc="365E4688">
      <w:start w:val="1"/>
      <w:numFmt w:val="bullet"/>
      <w:lvlText w:val="o"/>
      <w:lvlJc w:val="left"/>
      <w:pPr>
        <w:ind w:left="1440" w:hanging="360"/>
      </w:pPr>
      <w:rPr>
        <w:rFonts w:ascii="Courier New" w:hAnsi="Courier New" w:hint="default"/>
      </w:rPr>
    </w:lvl>
    <w:lvl w:ilvl="2" w:tplc="27B00EB2">
      <w:start w:val="1"/>
      <w:numFmt w:val="bullet"/>
      <w:lvlText w:val=""/>
      <w:lvlJc w:val="left"/>
      <w:pPr>
        <w:ind w:left="2160" w:hanging="360"/>
      </w:pPr>
      <w:rPr>
        <w:rFonts w:ascii="Wingdings" w:hAnsi="Wingdings" w:hint="default"/>
      </w:rPr>
    </w:lvl>
    <w:lvl w:ilvl="3" w:tplc="1668110C">
      <w:start w:val="1"/>
      <w:numFmt w:val="bullet"/>
      <w:lvlText w:val=""/>
      <w:lvlJc w:val="left"/>
      <w:pPr>
        <w:ind w:left="2880" w:hanging="360"/>
      </w:pPr>
      <w:rPr>
        <w:rFonts w:ascii="Symbol" w:hAnsi="Symbol" w:hint="default"/>
      </w:rPr>
    </w:lvl>
    <w:lvl w:ilvl="4" w:tplc="360A79FA">
      <w:start w:val="1"/>
      <w:numFmt w:val="bullet"/>
      <w:lvlText w:val="o"/>
      <w:lvlJc w:val="left"/>
      <w:pPr>
        <w:ind w:left="3600" w:hanging="360"/>
      </w:pPr>
      <w:rPr>
        <w:rFonts w:ascii="Courier New" w:hAnsi="Courier New" w:hint="default"/>
      </w:rPr>
    </w:lvl>
    <w:lvl w:ilvl="5" w:tplc="D8BA015A">
      <w:start w:val="1"/>
      <w:numFmt w:val="bullet"/>
      <w:lvlText w:val=""/>
      <w:lvlJc w:val="left"/>
      <w:pPr>
        <w:ind w:left="4320" w:hanging="360"/>
      </w:pPr>
      <w:rPr>
        <w:rFonts w:ascii="Wingdings" w:hAnsi="Wingdings" w:hint="default"/>
      </w:rPr>
    </w:lvl>
    <w:lvl w:ilvl="6" w:tplc="1B92F27A">
      <w:start w:val="1"/>
      <w:numFmt w:val="bullet"/>
      <w:lvlText w:val=""/>
      <w:lvlJc w:val="left"/>
      <w:pPr>
        <w:ind w:left="5040" w:hanging="360"/>
      </w:pPr>
      <w:rPr>
        <w:rFonts w:ascii="Symbol" w:hAnsi="Symbol" w:hint="default"/>
      </w:rPr>
    </w:lvl>
    <w:lvl w:ilvl="7" w:tplc="EF76233E">
      <w:start w:val="1"/>
      <w:numFmt w:val="bullet"/>
      <w:lvlText w:val="o"/>
      <w:lvlJc w:val="left"/>
      <w:pPr>
        <w:ind w:left="5760" w:hanging="360"/>
      </w:pPr>
      <w:rPr>
        <w:rFonts w:ascii="Courier New" w:hAnsi="Courier New" w:hint="default"/>
      </w:rPr>
    </w:lvl>
    <w:lvl w:ilvl="8" w:tplc="7F3ED272">
      <w:start w:val="1"/>
      <w:numFmt w:val="bullet"/>
      <w:lvlText w:val=""/>
      <w:lvlJc w:val="left"/>
      <w:pPr>
        <w:ind w:left="6480" w:hanging="360"/>
      </w:pPr>
      <w:rPr>
        <w:rFonts w:ascii="Wingdings" w:hAnsi="Wingdings" w:hint="default"/>
      </w:rPr>
    </w:lvl>
  </w:abstractNum>
  <w:abstractNum w:abstractNumId="31"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0378C2"/>
    <w:multiLevelType w:val="hybridMultilevel"/>
    <w:tmpl w:val="F1E43B24"/>
    <w:lvl w:ilvl="0" w:tplc="97A8924E">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202C22"/>
    <w:multiLevelType w:val="hybridMultilevel"/>
    <w:tmpl w:val="C48A6F06"/>
    <w:lvl w:ilvl="0" w:tplc="A8C62C34">
      <w:start w:val="1"/>
      <w:numFmt w:val="bullet"/>
      <w:lvlText w:val=""/>
      <w:lvlJc w:val="left"/>
      <w:pPr>
        <w:ind w:left="720" w:hanging="360"/>
      </w:pPr>
      <w:rPr>
        <w:rFonts w:ascii="Symbol" w:hAnsi="Symbol" w:hint="default"/>
      </w:rPr>
    </w:lvl>
    <w:lvl w:ilvl="1" w:tplc="12128C36">
      <w:start w:val="1"/>
      <w:numFmt w:val="bullet"/>
      <w:lvlText w:val="o"/>
      <w:lvlJc w:val="left"/>
      <w:pPr>
        <w:ind w:left="1440" w:hanging="360"/>
      </w:pPr>
      <w:rPr>
        <w:rFonts w:ascii="Courier New" w:hAnsi="Courier New" w:hint="default"/>
      </w:rPr>
    </w:lvl>
    <w:lvl w:ilvl="2" w:tplc="6742DEE4">
      <w:start w:val="1"/>
      <w:numFmt w:val="bullet"/>
      <w:lvlText w:val=""/>
      <w:lvlJc w:val="left"/>
      <w:pPr>
        <w:ind w:left="2160" w:hanging="360"/>
      </w:pPr>
      <w:rPr>
        <w:rFonts w:ascii="Wingdings" w:hAnsi="Wingdings" w:hint="default"/>
      </w:rPr>
    </w:lvl>
    <w:lvl w:ilvl="3" w:tplc="61402A1A">
      <w:start w:val="1"/>
      <w:numFmt w:val="bullet"/>
      <w:lvlText w:val=""/>
      <w:lvlJc w:val="left"/>
      <w:pPr>
        <w:ind w:left="2880" w:hanging="360"/>
      </w:pPr>
      <w:rPr>
        <w:rFonts w:ascii="Symbol" w:hAnsi="Symbol" w:hint="default"/>
      </w:rPr>
    </w:lvl>
    <w:lvl w:ilvl="4" w:tplc="90B64096">
      <w:start w:val="1"/>
      <w:numFmt w:val="bullet"/>
      <w:lvlText w:val="o"/>
      <w:lvlJc w:val="left"/>
      <w:pPr>
        <w:ind w:left="3600" w:hanging="360"/>
      </w:pPr>
      <w:rPr>
        <w:rFonts w:ascii="Courier New" w:hAnsi="Courier New" w:hint="default"/>
      </w:rPr>
    </w:lvl>
    <w:lvl w:ilvl="5" w:tplc="1CD8CD64">
      <w:start w:val="1"/>
      <w:numFmt w:val="bullet"/>
      <w:lvlText w:val=""/>
      <w:lvlJc w:val="left"/>
      <w:pPr>
        <w:ind w:left="4320" w:hanging="360"/>
      </w:pPr>
      <w:rPr>
        <w:rFonts w:ascii="Wingdings" w:hAnsi="Wingdings" w:hint="default"/>
      </w:rPr>
    </w:lvl>
    <w:lvl w:ilvl="6" w:tplc="04929E42">
      <w:start w:val="1"/>
      <w:numFmt w:val="bullet"/>
      <w:lvlText w:val=""/>
      <w:lvlJc w:val="left"/>
      <w:pPr>
        <w:ind w:left="5040" w:hanging="360"/>
      </w:pPr>
      <w:rPr>
        <w:rFonts w:ascii="Symbol" w:hAnsi="Symbol" w:hint="default"/>
      </w:rPr>
    </w:lvl>
    <w:lvl w:ilvl="7" w:tplc="DC380EF6">
      <w:start w:val="1"/>
      <w:numFmt w:val="bullet"/>
      <w:lvlText w:val="o"/>
      <w:lvlJc w:val="left"/>
      <w:pPr>
        <w:ind w:left="5760" w:hanging="360"/>
      </w:pPr>
      <w:rPr>
        <w:rFonts w:ascii="Courier New" w:hAnsi="Courier New" w:hint="default"/>
      </w:rPr>
    </w:lvl>
    <w:lvl w:ilvl="8" w:tplc="58E0EFCA">
      <w:start w:val="1"/>
      <w:numFmt w:val="bullet"/>
      <w:lvlText w:val=""/>
      <w:lvlJc w:val="left"/>
      <w:pPr>
        <w:ind w:left="6480" w:hanging="360"/>
      </w:pPr>
      <w:rPr>
        <w:rFonts w:ascii="Wingdings" w:hAnsi="Wingdings" w:hint="default"/>
      </w:rPr>
    </w:lvl>
  </w:abstractNum>
  <w:abstractNum w:abstractNumId="35" w15:restartNumberingAfterBreak="0">
    <w:nsid w:val="755A4611"/>
    <w:multiLevelType w:val="hybridMultilevel"/>
    <w:tmpl w:val="696CEFEA"/>
    <w:lvl w:ilvl="0" w:tplc="A49EAF92">
      <w:start w:val="1"/>
      <w:numFmt w:val="decimal"/>
      <w:lvlText w:val="%1."/>
      <w:lvlJc w:val="left"/>
      <w:pPr>
        <w:ind w:left="720" w:hanging="360"/>
      </w:pPr>
    </w:lvl>
    <w:lvl w:ilvl="1" w:tplc="F18AFA6A">
      <w:start w:val="1"/>
      <w:numFmt w:val="lowerLetter"/>
      <w:lvlText w:val="%2."/>
      <w:lvlJc w:val="left"/>
      <w:pPr>
        <w:ind w:left="1440" w:hanging="360"/>
      </w:pPr>
    </w:lvl>
    <w:lvl w:ilvl="2" w:tplc="6008A696">
      <w:start w:val="1"/>
      <w:numFmt w:val="lowerRoman"/>
      <w:lvlText w:val="%3."/>
      <w:lvlJc w:val="right"/>
      <w:pPr>
        <w:ind w:left="2160" w:hanging="180"/>
      </w:pPr>
    </w:lvl>
    <w:lvl w:ilvl="3" w:tplc="6234B9B0">
      <w:start w:val="1"/>
      <w:numFmt w:val="decimal"/>
      <w:lvlText w:val="%4."/>
      <w:lvlJc w:val="left"/>
      <w:pPr>
        <w:ind w:left="2880" w:hanging="360"/>
      </w:pPr>
    </w:lvl>
    <w:lvl w:ilvl="4" w:tplc="1FF6A47A">
      <w:start w:val="1"/>
      <w:numFmt w:val="lowerLetter"/>
      <w:lvlText w:val="%5."/>
      <w:lvlJc w:val="left"/>
      <w:pPr>
        <w:ind w:left="3600" w:hanging="360"/>
      </w:pPr>
    </w:lvl>
    <w:lvl w:ilvl="5" w:tplc="455A0924">
      <w:start w:val="1"/>
      <w:numFmt w:val="lowerRoman"/>
      <w:lvlText w:val="%6."/>
      <w:lvlJc w:val="right"/>
      <w:pPr>
        <w:ind w:left="4320" w:hanging="180"/>
      </w:pPr>
    </w:lvl>
    <w:lvl w:ilvl="6" w:tplc="FFF86044">
      <w:start w:val="1"/>
      <w:numFmt w:val="decimal"/>
      <w:lvlText w:val="%7."/>
      <w:lvlJc w:val="left"/>
      <w:pPr>
        <w:ind w:left="5040" w:hanging="360"/>
      </w:pPr>
    </w:lvl>
    <w:lvl w:ilvl="7" w:tplc="AC00295A">
      <w:start w:val="1"/>
      <w:numFmt w:val="lowerLetter"/>
      <w:lvlText w:val="%8."/>
      <w:lvlJc w:val="left"/>
      <w:pPr>
        <w:ind w:left="5760" w:hanging="360"/>
      </w:pPr>
    </w:lvl>
    <w:lvl w:ilvl="8" w:tplc="C6D0A31A">
      <w:start w:val="1"/>
      <w:numFmt w:val="lowerRoman"/>
      <w:lvlText w:val="%9."/>
      <w:lvlJc w:val="right"/>
      <w:pPr>
        <w:ind w:left="6480" w:hanging="180"/>
      </w:pPr>
    </w:lvl>
  </w:abstractNum>
  <w:abstractNum w:abstractNumId="36" w15:restartNumberingAfterBreak="0">
    <w:nsid w:val="769C0F51"/>
    <w:multiLevelType w:val="hybridMultilevel"/>
    <w:tmpl w:val="A30A3EDA"/>
    <w:lvl w:ilvl="0" w:tplc="36D03820">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30"/>
  </w:num>
  <w:num w:numId="3">
    <w:abstractNumId w:val="35"/>
  </w:num>
  <w:num w:numId="4">
    <w:abstractNumId w:val="34"/>
  </w:num>
  <w:num w:numId="5">
    <w:abstractNumId w:val="9"/>
  </w:num>
  <w:num w:numId="6">
    <w:abstractNumId w:val="28"/>
  </w:num>
  <w:num w:numId="7">
    <w:abstractNumId w:val="0"/>
  </w:num>
  <w:num w:numId="8">
    <w:abstractNumId w:val="3"/>
  </w:num>
  <w:num w:numId="9">
    <w:abstractNumId w:val="17"/>
  </w:num>
  <w:num w:numId="10">
    <w:abstractNumId w:val="29"/>
  </w:num>
  <w:num w:numId="11">
    <w:abstractNumId w:val="19"/>
  </w:num>
  <w:num w:numId="12">
    <w:abstractNumId w:val="16"/>
  </w:num>
  <w:num w:numId="13">
    <w:abstractNumId w:val="37"/>
  </w:num>
  <w:num w:numId="14">
    <w:abstractNumId w:val="6"/>
  </w:num>
  <w:num w:numId="15">
    <w:abstractNumId w:val="21"/>
  </w:num>
  <w:num w:numId="16">
    <w:abstractNumId w:val="5"/>
  </w:num>
  <w:num w:numId="17">
    <w:abstractNumId w:val="11"/>
  </w:num>
  <w:num w:numId="18">
    <w:abstractNumId w:val="26"/>
  </w:num>
  <w:num w:numId="19">
    <w:abstractNumId w:val="10"/>
  </w:num>
  <w:num w:numId="20">
    <w:abstractNumId w:val="36"/>
  </w:num>
  <w:num w:numId="21">
    <w:abstractNumId w:val="20"/>
  </w:num>
  <w:num w:numId="22">
    <w:abstractNumId w:val="7"/>
  </w:num>
  <w:num w:numId="23">
    <w:abstractNumId w:val="1"/>
  </w:num>
  <w:num w:numId="24">
    <w:abstractNumId w:val="11"/>
  </w:num>
  <w:num w:numId="25">
    <w:abstractNumId w:val="12"/>
  </w:num>
  <w:num w:numId="26">
    <w:abstractNumId w:val="13"/>
  </w:num>
  <w:num w:numId="27">
    <w:abstractNumId w:val="15"/>
  </w:num>
  <w:num w:numId="28">
    <w:abstractNumId w:val="8"/>
  </w:num>
  <w:num w:numId="29">
    <w:abstractNumId w:val="11"/>
  </w:num>
  <w:num w:numId="30">
    <w:abstractNumId w:val="11"/>
  </w:num>
  <w:num w:numId="31">
    <w:abstractNumId w:val="11"/>
  </w:num>
  <w:num w:numId="32">
    <w:abstractNumId w:val="11"/>
  </w:num>
  <w:num w:numId="33">
    <w:abstractNumId w:val="11"/>
  </w:num>
  <w:num w:numId="34">
    <w:abstractNumId w:val="23"/>
  </w:num>
  <w:num w:numId="35">
    <w:abstractNumId w:val="31"/>
  </w:num>
  <w:num w:numId="36">
    <w:abstractNumId w:val="4"/>
  </w:num>
  <w:num w:numId="37">
    <w:abstractNumId w:val="22"/>
  </w:num>
  <w:num w:numId="38">
    <w:abstractNumId w:val="24"/>
  </w:num>
  <w:num w:numId="39">
    <w:abstractNumId w:val="33"/>
  </w:num>
  <w:num w:numId="40">
    <w:abstractNumId w:val="2"/>
  </w:num>
  <w:num w:numId="41">
    <w:abstractNumId w:val="25"/>
  </w:num>
  <w:num w:numId="42">
    <w:abstractNumId w:val="32"/>
  </w:num>
  <w:num w:numId="43">
    <w:abstractNumId w:val="18"/>
  </w:num>
  <w:num w:numId="44">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FEC"/>
    <w:rsid w:val="00003E20"/>
    <w:rsid w:val="00004AC8"/>
    <w:rsid w:val="000053BA"/>
    <w:rsid w:val="00006055"/>
    <w:rsid w:val="00006AD4"/>
    <w:rsid w:val="00006CB9"/>
    <w:rsid w:val="000074C4"/>
    <w:rsid w:val="000079A6"/>
    <w:rsid w:val="00010E2C"/>
    <w:rsid w:val="000116D2"/>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3BDB"/>
    <w:rsid w:val="00023F1C"/>
    <w:rsid w:val="00024AEF"/>
    <w:rsid w:val="00025C6C"/>
    <w:rsid w:val="0002674E"/>
    <w:rsid w:val="00026C65"/>
    <w:rsid w:val="00027755"/>
    <w:rsid w:val="00027864"/>
    <w:rsid w:val="0002789E"/>
    <w:rsid w:val="00030048"/>
    <w:rsid w:val="0003072D"/>
    <w:rsid w:val="000314CD"/>
    <w:rsid w:val="0003332B"/>
    <w:rsid w:val="00033544"/>
    <w:rsid w:val="0003479E"/>
    <w:rsid w:val="00034978"/>
    <w:rsid w:val="00035691"/>
    <w:rsid w:val="0003767C"/>
    <w:rsid w:val="00040F4F"/>
    <w:rsid w:val="0004132D"/>
    <w:rsid w:val="00041C9D"/>
    <w:rsid w:val="00041D6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05C"/>
    <w:rsid w:val="00060D8E"/>
    <w:rsid w:val="00062159"/>
    <w:rsid w:val="00063D9E"/>
    <w:rsid w:val="00064AD3"/>
    <w:rsid w:val="00065088"/>
    <w:rsid w:val="000652D3"/>
    <w:rsid w:val="000654A0"/>
    <w:rsid w:val="000659FD"/>
    <w:rsid w:val="00065E94"/>
    <w:rsid w:val="000701AD"/>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80EB6"/>
    <w:rsid w:val="00081EC2"/>
    <w:rsid w:val="00082154"/>
    <w:rsid w:val="00083800"/>
    <w:rsid w:val="00083EF6"/>
    <w:rsid w:val="00084A65"/>
    <w:rsid w:val="0008559A"/>
    <w:rsid w:val="00085E56"/>
    <w:rsid w:val="000902C2"/>
    <w:rsid w:val="00091A92"/>
    <w:rsid w:val="00093C49"/>
    <w:rsid w:val="00095A80"/>
    <w:rsid w:val="000973E1"/>
    <w:rsid w:val="000A1402"/>
    <w:rsid w:val="000A20BA"/>
    <w:rsid w:val="000A262C"/>
    <w:rsid w:val="000A3C8D"/>
    <w:rsid w:val="000A3DFE"/>
    <w:rsid w:val="000A40EC"/>
    <w:rsid w:val="000A54C0"/>
    <w:rsid w:val="000A54EE"/>
    <w:rsid w:val="000A5B86"/>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519"/>
    <w:rsid w:val="000C1D59"/>
    <w:rsid w:val="000C2B09"/>
    <w:rsid w:val="000C30CF"/>
    <w:rsid w:val="000C501D"/>
    <w:rsid w:val="000C5CBA"/>
    <w:rsid w:val="000C74BA"/>
    <w:rsid w:val="000C7531"/>
    <w:rsid w:val="000C7BA7"/>
    <w:rsid w:val="000C7C3F"/>
    <w:rsid w:val="000D0BD6"/>
    <w:rsid w:val="000D0C61"/>
    <w:rsid w:val="000D1440"/>
    <w:rsid w:val="000D27AD"/>
    <w:rsid w:val="000D28CF"/>
    <w:rsid w:val="000D29D1"/>
    <w:rsid w:val="000D2B0A"/>
    <w:rsid w:val="000D3286"/>
    <w:rsid w:val="000D344D"/>
    <w:rsid w:val="000D40E7"/>
    <w:rsid w:val="000D584F"/>
    <w:rsid w:val="000D7366"/>
    <w:rsid w:val="000D76BC"/>
    <w:rsid w:val="000D7750"/>
    <w:rsid w:val="000E059D"/>
    <w:rsid w:val="000E071E"/>
    <w:rsid w:val="000E0DEE"/>
    <w:rsid w:val="000E181D"/>
    <w:rsid w:val="000E27AA"/>
    <w:rsid w:val="000E337A"/>
    <w:rsid w:val="000E34FD"/>
    <w:rsid w:val="000E4350"/>
    <w:rsid w:val="000E4376"/>
    <w:rsid w:val="000E4408"/>
    <w:rsid w:val="000E53AB"/>
    <w:rsid w:val="000E5716"/>
    <w:rsid w:val="000E7941"/>
    <w:rsid w:val="000E7A79"/>
    <w:rsid w:val="000F15B2"/>
    <w:rsid w:val="000F19DE"/>
    <w:rsid w:val="000F2E1F"/>
    <w:rsid w:val="000F37B0"/>
    <w:rsid w:val="000F4595"/>
    <w:rsid w:val="000F4B05"/>
    <w:rsid w:val="000F4CB2"/>
    <w:rsid w:val="000F4E44"/>
    <w:rsid w:val="000F4E90"/>
    <w:rsid w:val="000F5319"/>
    <w:rsid w:val="000F568D"/>
    <w:rsid w:val="000F68D0"/>
    <w:rsid w:val="000F6B15"/>
    <w:rsid w:val="000F73FD"/>
    <w:rsid w:val="0010170B"/>
    <w:rsid w:val="00101C4F"/>
    <w:rsid w:val="00102C9F"/>
    <w:rsid w:val="00103565"/>
    <w:rsid w:val="00106279"/>
    <w:rsid w:val="001068D2"/>
    <w:rsid w:val="00106932"/>
    <w:rsid w:val="001069F2"/>
    <w:rsid w:val="001103BD"/>
    <w:rsid w:val="00111208"/>
    <w:rsid w:val="001115E4"/>
    <w:rsid w:val="00111808"/>
    <w:rsid w:val="001121A9"/>
    <w:rsid w:val="00112220"/>
    <w:rsid w:val="0011339F"/>
    <w:rsid w:val="00113B8F"/>
    <w:rsid w:val="00113EC8"/>
    <w:rsid w:val="00114E96"/>
    <w:rsid w:val="001152C7"/>
    <w:rsid w:val="00115C88"/>
    <w:rsid w:val="00115E8F"/>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953"/>
    <w:rsid w:val="00155BFD"/>
    <w:rsid w:val="00156ABA"/>
    <w:rsid w:val="00157390"/>
    <w:rsid w:val="001602A3"/>
    <w:rsid w:val="00160998"/>
    <w:rsid w:val="00160CD6"/>
    <w:rsid w:val="00160F5F"/>
    <w:rsid w:val="00162308"/>
    <w:rsid w:val="0016316A"/>
    <w:rsid w:val="001637C9"/>
    <w:rsid w:val="0016381F"/>
    <w:rsid w:val="00163D1D"/>
    <w:rsid w:val="00164171"/>
    <w:rsid w:val="00164E58"/>
    <w:rsid w:val="00165033"/>
    <w:rsid w:val="001665EB"/>
    <w:rsid w:val="001670EA"/>
    <w:rsid w:val="001674A0"/>
    <w:rsid w:val="001707EC"/>
    <w:rsid w:val="00170A50"/>
    <w:rsid w:val="00174FFD"/>
    <w:rsid w:val="001759CA"/>
    <w:rsid w:val="0017726A"/>
    <w:rsid w:val="00177D89"/>
    <w:rsid w:val="00177DD3"/>
    <w:rsid w:val="00180278"/>
    <w:rsid w:val="001807F2"/>
    <w:rsid w:val="001818A7"/>
    <w:rsid w:val="00182725"/>
    <w:rsid w:val="001829C8"/>
    <w:rsid w:val="00185152"/>
    <w:rsid w:val="00185BBC"/>
    <w:rsid w:val="00186904"/>
    <w:rsid w:val="00186B0A"/>
    <w:rsid w:val="001905BD"/>
    <w:rsid w:val="00192FE6"/>
    <w:rsid w:val="0019360B"/>
    <w:rsid w:val="00193986"/>
    <w:rsid w:val="00193B08"/>
    <w:rsid w:val="00194570"/>
    <w:rsid w:val="00196BF4"/>
    <w:rsid w:val="001972DA"/>
    <w:rsid w:val="001976AA"/>
    <w:rsid w:val="001A02F6"/>
    <w:rsid w:val="001A0606"/>
    <w:rsid w:val="001A15C6"/>
    <w:rsid w:val="001A16B5"/>
    <w:rsid w:val="001A3478"/>
    <w:rsid w:val="001A4458"/>
    <w:rsid w:val="001A5510"/>
    <w:rsid w:val="001A5C7B"/>
    <w:rsid w:val="001A5E19"/>
    <w:rsid w:val="001A63D8"/>
    <w:rsid w:val="001A70A7"/>
    <w:rsid w:val="001B01FA"/>
    <w:rsid w:val="001B0832"/>
    <w:rsid w:val="001B18A7"/>
    <w:rsid w:val="001B2762"/>
    <w:rsid w:val="001B36FC"/>
    <w:rsid w:val="001B41ED"/>
    <w:rsid w:val="001B4607"/>
    <w:rsid w:val="001B7E0C"/>
    <w:rsid w:val="001C0674"/>
    <w:rsid w:val="001C1405"/>
    <w:rsid w:val="001C1B93"/>
    <w:rsid w:val="001C226F"/>
    <w:rsid w:val="001C2D89"/>
    <w:rsid w:val="001C5296"/>
    <w:rsid w:val="001C66AC"/>
    <w:rsid w:val="001C6754"/>
    <w:rsid w:val="001C77F0"/>
    <w:rsid w:val="001D30C9"/>
    <w:rsid w:val="001D445B"/>
    <w:rsid w:val="001D46A0"/>
    <w:rsid w:val="001D4E24"/>
    <w:rsid w:val="001D50C2"/>
    <w:rsid w:val="001D5937"/>
    <w:rsid w:val="001D753C"/>
    <w:rsid w:val="001D7CA4"/>
    <w:rsid w:val="001D7DC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CD"/>
    <w:rsid w:val="001F22D5"/>
    <w:rsid w:val="001F23BD"/>
    <w:rsid w:val="001F34DA"/>
    <w:rsid w:val="001F4DAC"/>
    <w:rsid w:val="001F5019"/>
    <w:rsid w:val="001F51C5"/>
    <w:rsid w:val="001F65B0"/>
    <w:rsid w:val="001F67AA"/>
    <w:rsid w:val="001F6A62"/>
    <w:rsid w:val="001F6AFD"/>
    <w:rsid w:val="001F738D"/>
    <w:rsid w:val="001F7599"/>
    <w:rsid w:val="00203DB5"/>
    <w:rsid w:val="00204A2A"/>
    <w:rsid w:val="00204B22"/>
    <w:rsid w:val="00204B3A"/>
    <w:rsid w:val="0020535A"/>
    <w:rsid w:val="002055CB"/>
    <w:rsid w:val="002059EF"/>
    <w:rsid w:val="00205BDB"/>
    <w:rsid w:val="00206955"/>
    <w:rsid w:val="00206A79"/>
    <w:rsid w:val="0020A800"/>
    <w:rsid w:val="00210309"/>
    <w:rsid w:val="00211519"/>
    <w:rsid w:val="0021224B"/>
    <w:rsid w:val="00212950"/>
    <w:rsid w:val="00212FB8"/>
    <w:rsid w:val="00213709"/>
    <w:rsid w:val="002149AF"/>
    <w:rsid w:val="00214A86"/>
    <w:rsid w:val="00215AAA"/>
    <w:rsid w:val="0021683C"/>
    <w:rsid w:val="00216F5F"/>
    <w:rsid w:val="002174A4"/>
    <w:rsid w:val="002174C9"/>
    <w:rsid w:val="00220615"/>
    <w:rsid w:val="00221985"/>
    <w:rsid w:val="00221EC5"/>
    <w:rsid w:val="00222A7A"/>
    <w:rsid w:val="00224A2C"/>
    <w:rsid w:val="00225217"/>
    <w:rsid w:val="002256D9"/>
    <w:rsid w:val="00226577"/>
    <w:rsid w:val="0022687C"/>
    <w:rsid w:val="00227445"/>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1E72"/>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95C"/>
    <w:rsid w:val="00260AEE"/>
    <w:rsid w:val="002621A6"/>
    <w:rsid w:val="00262661"/>
    <w:rsid w:val="00262712"/>
    <w:rsid w:val="00262D9D"/>
    <w:rsid w:val="002632DF"/>
    <w:rsid w:val="00263946"/>
    <w:rsid w:val="002640BA"/>
    <w:rsid w:val="00264CF2"/>
    <w:rsid w:val="00264E3E"/>
    <w:rsid w:val="00265B6B"/>
    <w:rsid w:val="002667A8"/>
    <w:rsid w:val="00267587"/>
    <w:rsid w:val="002675C8"/>
    <w:rsid w:val="00267760"/>
    <w:rsid w:val="00270B1A"/>
    <w:rsid w:val="00271589"/>
    <w:rsid w:val="00273177"/>
    <w:rsid w:val="0027455B"/>
    <w:rsid w:val="00275074"/>
    <w:rsid w:val="002763E9"/>
    <w:rsid w:val="00276736"/>
    <w:rsid w:val="00276F4E"/>
    <w:rsid w:val="0027773D"/>
    <w:rsid w:val="002815FA"/>
    <w:rsid w:val="002824C2"/>
    <w:rsid w:val="0028438A"/>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7FA"/>
    <w:rsid w:val="002B2813"/>
    <w:rsid w:val="002B2D29"/>
    <w:rsid w:val="002B357B"/>
    <w:rsid w:val="002B3B31"/>
    <w:rsid w:val="002B3BBD"/>
    <w:rsid w:val="002B4FA7"/>
    <w:rsid w:val="002C0C4B"/>
    <w:rsid w:val="002C1EEA"/>
    <w:rsid w:val="002C47AD"/>
    <w:rsid w:val="002C5510"/>
    <w:rsid w:val="002C6034"/>
    <w:rsid w:val="002C635B"/>
    <w:rsid w:val="002C7276"/>
    <w:rsid w:val="002C770F"/>
    <w:rsid w:val="002C7CFF"/>
    <w:rsid w:val="002D0BC6"/>
    <w:rsid w:val="002D12DB"/>
    <w:rsid w:val="002D17C5"/>
    <w:rsid w:val="002D277F"/>
    <w:rsid w:val="002D365F"/>
    <w:rsid w:val="002D4641"/>
    <w:rsid w:val="002D51DF"/>
    <w:rsid w:val="002D6892"/>
    <w:rsid w:val="002D68C2"/>
    <w:rsid w:val="002D7C86"/>
    <w:rsid w:val="002E0692"/>
    <w:rsid w:val="002E1D74"/>
    <w:rsid w:val="002E2943"/>
    <w:rsid w:val="002E2CF1"/>
    <w:rsid w:val="002E3259"/>
    <w:rsid w:val="002E34AF"/>
    <w:rsid w:val="002E4AAC"/>
    <w:rsid w:val="002E53DE"/>
    <w:rsid w:val="002E563B"/>
    <w:rsid w:val="002E62D2"/>
    <w:rsid w:val="002E734F"/>
    <w:rsid w:val="002E74AF"/>
    <w:rsid w:val="002E758C"/>
    <w:rsid w:val="002F1038"/>
    <w:rsid w:val="002F22FF"/>
    <w:rsid w:val="002F2D8F"/>
    <w:rsid w:val="002F5BE4"/>
    <w:rsid w:val="002F613F"/>
    <w:rsid w:val="002F695B"/>
    <w:rsid w:val="002F72DA"/>
    <w:rsid w:val="002F76B1"/>
    <w:rsid w:val="002F7D66"/>
    <w:rsid w:val="002F7DBE"/>
    <w:rsid w:val="002FD911"/>
    <w:rsid w:val="0030090B"/>
    <w:rsid w:val="00302AE8"/>
    <w:rsid w:val="00302BB1"/>
    <w:rsid w:val="003030F0"/>
    <w:rsid w:val="00303BB5"/>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27C"/>
    <w:rsid w:val="003224AA"/>
    <w:rsid w:val="003224E7"/>
    <w:rsid w:val="00324119"/>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57D01"/>
    <w:rsid w:val="00361412"/>
    <w:rsid w:val="003615CA"/>
    <w:rsid w:val="00363311"/>
    <w:rsid w:val="00363B2C"/>
    <w:rsid w:val="003642A6"/>
    <w:rsid w:val="00364763"/>
    <w:rsid w:val="00365C3D"/>
    <w:rsid w:val="00366C1B"/>
    <w:rsid w:val="00367337"/>
    <w:rsid w:val="00367367"/>
    <w:rsid w:val="003676D1"/>
    <w:rsid w:val="00367FD8"/>
    <w:rsid w:val="0037004E"/>
    <w:rsid w:val="00370B63"/>
    <w:rsid w:val="00370FCC"/>
    <w:rsid w:val="003711AF"/>
    <w:rsid w:val="003735C6"/>
    <w:rsid w:val="00374309"/>
    <w:rsid w:val="00374848"/>
    <w:rsid w:val="003757A1"/>
    <w:rsid w:val="00375D09"/>
    <w:rsid w:val="003762DC"/>
    <w:rsid w:val="0037630F"/>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19D0"/>
    <w:rsid w:val="00392491"/>
    <w:rsid w:val="003935B0"/>
    <w:rsid w:val="00393E44"/>
    <w:rsid w:val="00394301"/>
    <w:rsid w:val="0039747B"/>
    <w:rsid w:val="00397AB6"/>
    <w:rsid w:val="00397ACA"/>
    <w:rsid w:val="003A10C3"/>
    <w:rsid w:val="003A190E"/>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752"/>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1276"/>
    <w:rsid w:val="003F3FCC"/>
    <w:rsid w:val="003F5547"/>
    <w:rsid w:val="003F5C40"/>
    <w:rsid w:val="003F6E12"/>
    <w:rsid w:val="003F6F8B"/>
    <w:rsid w:val="003F75ED"/>
    <w:rsid w:val="004002B7"/>
    <w:rsid w:val="0040067D"/>
    <w:rsid w:val="00400F31"/>
    <w:rsid w:val="004023BA"/>
    <w:rsid w:val="00406B4D"/>
    <w:rsid w:val="0041443C"/>
    <w:rsid w:val="004144C8"/>
    <w:rsid w:val="0041488F"/>
    <w:rsid w:val="004154F7"/>
    <w:rsid w:val="00416D44"/>
    <w:rsid w:val="004176FF"/>
    <w:rsid w:val="00417A1E"/>
    <w:rsid w:val="00417C69"/>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7A9"/>
    <w:rsid w:val="00443A9F"/>
    <w:rsid w:val="0044474B"/>
    <w:rsid w:val="00445FF7"/>
    <w:rsid w:val="004508A8"/>
    <w:rsid w:val="0045169A"/>
    <w:rsid w:val="004516CD"/>
    <w:rsid w:val="00452CA7"/>
    <w:rsid w:val="00452DF8"/>
    <w:rsid w:val="00453341"/>
    <w:rsid w:val="004540E6"/>
    <w:rsid w:val="004545C6"/>
    <w:rsid w:val="00454DCA"/>
    <w:rsid w:val="00454E26"/>
    <w:rsid w:val="00456544"/>
    <w:rsid w:val="00456649"/>
    <w:rsid w:val="004567B7"/>
    <w:rsid w:val="00456856"/>
    <w:rsid w:val="004571EF"/>
    <w:rsid w:val="0046047A"/>
    <w:rsid w:val="00461210"/>
    <w:rsid w:val="00461700"/>
    <w:rsid w:val="00461AAC"/>
    <w:rsid w:val="00461EB5"/>
    <w:rsid w:val="00462490"/>
    <w:rsid w:val="00462AC9"/>
    <w:rsid w:val="00463DC3"/>
    <w:rsid w:val="00465299"/>
    <w:rsid w:val="00466A0F"/>
    <w:rsid w:val="0046795B"/>
    <w:rsid w:val="004708C0"/>
    <w:rsid w:val="0047115F"/>
    <w:rsid w:val="004715CB"/>
    <w:rsid w:val="00471863"/>
    <w:rsid w:val="00473777"/>
    <w:rsid w:val="00473A14"/>
    <w:rsid w:val="004745A9"/>
    <w:rsid w:val="00474617"/>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46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4D8E"/>
    <w:rsid w:val="004C6DA5"/>
    <w:rsid w:val="004C795A"/>
    <w:rsid w:val="004C7F93"/>
    <w:rsid w:val="004D2629"/>
    <w:rsid w:val="004D26B8"/>
    <w:rsid w:val="004D2C2C"/>
    <w:rsid w:val="004D38C2"/>
    <w:rsid w:val="004D41DC"/>
    <w:rsid w:val="004D4654"/>
    <w:rsid w:val="004D4FBD"/>
    <w:rsid w:val="004D4FC0"/>
    <w:rsid w:val="004D5CE7"/>
    <w:rsid w:val="004D6381"/>
    <w:rsid w:val="004D7DA8"/>
    <w:rsid w:val="004E10CD"/>
    <w:rsid w:val="004E1401"/>
    <w:rsid w:val="004E2892"/>
    <w:rsid w:val="004E362B"/>
    <w:rsid w:val="004E3681"/>
    <w:rsid w:val="004E3D74"/>
    <w:rsid w:val="004E447D"/>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777"/>
    <w:rsid w:val="004F6D99"/>
    <w:rsid w:val="00500572"/>
    <w:rsid w:val="00500701"/>
    <w:rsid w:val="00501304"/>
    <w:rsid w:val="00501425"/>
    <w:rsid w:val="0050318B"/>
    <w:rsid w:val="00503CF2"/>
    <w:rsid w:val="00503E1C"/>
    <w:rsid w:val="00504311"/>
    <w:rsid w:val="0050485C"/>
    <w:rsid w:val="00504AC6"/>
    <w:rsid w:val="00504D75"/>
    <w:rsid w:val="00505190"/>
    <w:rsid w:val="00505D51"/>
    <w:rsid w:val="0050739F"/>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3B2C"/>
    <w:rsid w:val="00523E75"/>
    <w:rsid w:val="005243E0"/>
    <w:rsid w:val="005256F3"/>
    <w:rsid w:val="005265A3"/>
    <w:rsid w:val="00526783"/>
    <w:rsid w:val="005268D3"/>
    <w:rsid w:val="0052773A"/>
    <w:rsid w:val="00527FB1"/>
    <w:rsid w:val="00530423"/>
    <w:rsid w:val="0053107E"/>
    <w:rsid w:val="005312CB"/>
    <w:rsid w:val="0053162F"/>
    <w:rsid w:val="00531777"/>
    <w:rsid w:val="0053281C"/>
    <w:rsid w:val="00532AD0"/>
    <w:rsid w:val="0053311D"/>
    <w:rsid w:val="00533B93"/>
    <w:rsid w:val="005340C9"/>
    <w:rsid w:val="00536698"/>
    <w:rsid w:val="005373F3"/>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0A1F"/>
    <w:rsid w:val="00580CFC"/>
    <w:rsid w:val="00581470"/>
    <w:rsid w:val="00581B62"/>
    <w:rsid w:val="00581BAD"/>
    <w:rsid w:val="00582087"/>
    <w:rsid w:val="00582F21"/>
    <w:rsid w:val="005831DD"/>
    <w:rsid w:val="00584320"/>
    <w:rsid w:val="00585484"/>
    <w:rsid w:val="00585557"/>
    <w:rsid w:val="00587229"/>
    <w:rsid w:val="00587503"/>
    <w:rsid w:val="00587F7F"/>
    <w:rsid w:val="00590E8D"/>
    <w:rsid w:val="00591511"/>
    <w:rsid w:val="00591E50"/>
    <w:rsid w:val="00592CDA"/>
    <w:rsid w:val="0059331A"/>
    <w:rsid w:val="00593A72"/>
    <w:rsid w:val="00595A8C"/>
    <w:rsid w:val="00595C2C"/>
    <w:rsid w:val="00596180"/>
    <w:rsid w:val="00596BBA"/>
    <w:rsid w:val="00597386"/>
    <w:rsid w:val="005975C4"/>
    <w:rsid w:val="00597ED8"/>
    <w:rsid w:val="005A17AE"/>
    <w:rsid w:val="005A2B20"/>
    <w:rsid w:val="005A34D5"/>
    <w:rsid w:val="005A3943"/>
    <w:rsid w:val="005A4904"/>
    <w:rsid w:val="005A515A"/>
    <w:rsid w:val="005A704D"/>
    <w:rsid w:val="005B3C6D"/>
    <w:rsid w:val="005B4045"/>
    <w:rsid w:val="005B42A1"/>
    <w:rsid w:val="005B5D98"/>
    <w:rsid w:val="005B609E"/>
    <w:rsid w:val="005B6DF6"/>
    <w:rsid w:val="005B7B7D"/>
    <w:rsid w:val="005C1948"/>
    <w:rsid w:val="005C22F9"/>
    <w:rsid w:val="005C263C"/>
    <w:rsid w:val="005C2679"/>
    <w:rsid w:val="005C298C"/>
    <w:rsid w:val="005C5870"/>
    <w:rsid w:val="005D059A"/>
    <w:rsid w:val="005D07C5"/>
    <w:rsid w:val="005D21B7"/>
    <w:rsid w:val="005D2DAD"/>
    <w:rsid w:val="005D3F1A"/>
    <w:rsid w:val="005D4302"/>
    <w:rsid w:val="005D5A20"/>
    <w:rsid w:val="005D786C"/>
    <w:rsid w:val="005E00E5"/>
    <w:rsid w:val="005E0148"/>
    <w:rsid w:val="005E049F"/>
    <w:rsid w:val="005E0BB6"/>
    <w:rsid w:val="005E2D80"/>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59A"/>
    <w:rsid w:val="005F7985"/>
    <w:rsid w:val="00600CEB"/>
    <w:rsid w:val="00602298"/>
    <w:rsid w:val="00602A78"/>
    <w:rsid w:val="00602A84"/>
    <w:rsid w:val="00602AA1"/>
    <w:rsid w:val="00603123"/>
    <w:rsid w:val="0060321D"/>
    <w:rsid w:val="006036F4"/>
    <w:rsid w:val="0060412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0DE2"/>
    <w:rsid w:val="0062152A"/>
    <w:rsid w:val="00623583"/>
    <w:rsid w:val="0062462F"/>
    <w:rsid w:val="00624BA1"/>
    <w:rsid w:val="0062576D"/>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CA6"/>
    <w:rsid w:val="00674E6A"/>
    <w:rsid w:val="00675530"/>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4B3E"/>
    <w:rsid w:val="006B564D"/>
    <w:rsid w:val="006C1445"/>
    <w:rsid w:val="006C3AB0"/>
    <w:rsid w:val="006C4FC1"/>
    <w:rsid w:val="006C51A5"/>
    <w:rsid w:val="006C529D"/>
    <w:rsid w:val="006C52F5"/>
    <w:rsid w:val="006C6798"/>
    <w:rsid w:val="006C6DF7"/>
    <w:rsid w:val="006D0C12"/>
    <w:rsid w:val="006D0E6B"/>
    <w:rsid w:val="006D2146"/>
    <w:rsid w:val="006D2DC9"/>
    <w:rsid w:val="006D632E"/>
    <w:rsid w:val="006E094A"/>
    <w:rsid w:val="006E12B1"/>
    <w:rsid w:val="006E13D1"/>
    <w:rsid w:val="006E2105"/>
    <w:rsid w:val="006E4D0C"/>
    <w:rsid w:val="006E4D1B"/>
    <w:rsid w:val="006E5B78"/>
    <w:rsid w:val="006E67BA"/>
    <w:rsid w:val="006E699D"/>
    <w:rsid w:val="006E6BA3"/>
    <w:rsid w:val="006F1116"/>
    <w:rsid w:val="006F2654"/>
    <w:rsid w:val="006F3196"/>
    <w:rsid w:val="006F3C54"/>
    <w:rsid w:val="006F418C"/>
    <w:rsid w:val="006F4F3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95"/>
    <w:rsid w:val="007063F8"/>
    <w:rsid w:val="007108D3"/>
    <w:rsid w:val="0071118B"/>
    <w:rsid w:val="00711C66"/>
    <w:rsid w:val="00711E13"/>
    <w:rsid w:val="00712799"/>
    <w:rsid w:val="00712EDA"/>
    <w:rsid w:val="007136D0"/>
    <w:rsid w:val="00714DFA"/>
    <w:rsid w:val="007155A9"/>
    <w:rsid w:val="007158E1"/>
    <w:rsid w:val="00715B77"/>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B14"/>
    <w:rsid w:val="00735C6F"/>
    <w:rsid w:val="007369C4"/>
    <w:rsid w:val="00737A31"/>
    <w:rsid w:val="00742422"/>
    <w:rsid w:val="00742A6A"/>
    <w:rsid w:val="00742B44"/>
    <w:rsid w:val="007449E1"/>
    <w:rsid w:val="0074656E"/>
    <w:rsid w:val="007472D5"/>
    <w:rsid w:val="00750BAC"/>
    <w:rsid w:val="00752B03"/>
    <w:rsid w:val="00753454"/>
    <w:rsid w:val="00753BB5"/>
    <w:rsid w:val="007544F1"/>
    <w:rsid w:val="00755E4A"/>
    <w:rsid w:val="00756832"/>
    <w:rsid w:val="00757F0B"/>
    <w:rsid w:val="007626D0"/>
    <w:rsid w:val="007651CA"/>
    <w:rsid w:val="00767519"/>
    <w:rsid w:val="007701CC"/>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4D0"/>
    <w:rsid w:val="007826C8"/>
    <w:rsid w:val="00783657"/>
    <w:rsid w:val="007837ED"/>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AA9"/>
    <w:rsid w:val="00797E22"/>
    <w:rsid w:val="007A138F"/>
    <w:rsid w:val="007A1640"/>
    <w:rsid w:val="007A1AE4"/>
    <w:rsid w:val="007A39DF"/>
    <w:rsid w:val="007A3B29"/>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1FC5"/>
    <w:rsid w:val="00842E0C"/>
    <w:rsid w:val="00843A7A"/>
    <w:rsid w:val="008447F5"/>
    <w:rsid w:val="00845F5A"/>
    <w:rsid w:val="00846292"/>
    <w:rsid w:val="008506E1"/>
    <w:rsid w:val="00850D96"/>
    <w:rsid w:val="008515EE"/>
    <w:rsid w:val="00851A8E"/>
    <w:rsid w:val="00851EC7"/>
    <w:rsid w:val="008528D3"/>
    <w:rsid w:val="00852B2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3A0C"/>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5928"/>
    <w:rsid w:val="00886185"/>
    <w:rsid w:val="008861D9"/>
    <w:rsid w:val="0088638C"/>
    <w:rsid w:val="00886EDF"/>
    <w:rsid w:val="008908E5"/>
    <w:rsid w:val="00891216"/>
    <w:rsid w:val="008925E9"/>
    <w:rsid w:val="00892A97"/>
    <w:rsid w:val="00893DCF"/>
    <w:rsid w:val="00894B58"/>
    <w:rsid w:val="00894FDC"/>
    <w:rsid w:val="008957D3"/>
    <w:rsid w:val="00896414"/>
    <w:rsid w:val="0089716F"/>
    <w:rsid w:val="00897C71"/>
    <w:rsid w:val="008A0F54"/>
    <w:rsid w:val="008A16F9"/>
    <w:rsid w:val="008A1D3E"/>
    <w:rsid w:val="008A1E78"/>
    <w:rsid w:val="008A3038"/>
    <w:rsid w:val="008A4B16"/>
    <w:rsid w:val="008A4D63"/>
    <w:rsid w:val="008A4E11"/>
    <w:rsid w:val="008A6D62"/>
    <w:rsid w:val="008B13E9"/>
    <w:rsid w:val="008B15AC"/>
    <w:rsid w:val="008B1A56"/>
    <w:rsid w:val="008B2257"/>
    <w:rsid w:val="008B2436"/>
    <w:rsid w:val="008B3B51"/>
    <w:rsid w:val="008B4057"/>
    <w:rsid w:val="008B4145"/>
    <w:rsid w:val="008B497C"/>
    <w:rsid w:val="008B5071"/>
    <w:rsid w:val="008B5290"/>
    <w:rsid w:val="008B678B"/>
    <w:rsid w:val="008B6A40"/>
    <w:rsid w:val="008B72EC"/>
    <w:rsid w:val="008C2CFD"/>
    <w:rsid w:val="008C3047"/>
    <w:rsid w:val="008C3FDC"/>
    <w:rsid w:val="008C47AD"/>
    <w:rsid w:val="008C5CAE"/>
    <w:rsid w:val="008C603A"/>
    <w:rsid w:val="008C71C8"/>
    <w:rsid w:val="008D167D"/>
    <w:rsid w:val="008D2D5A"/>
    <w:rsid w:val="008D3116"/>
    <w:rsid w:val="008D492A"/>
    <w:rsid w:val="008D4B58"/>
    <w:rsid w:val="008D4B7F"/>
    <w:rsid w:val="008D4B8A"/>
    <w:rsid w:val="008D6541"/>
    <w:rsid w:val="008D7D7B"/>
    <w:rsid w:val="008E0F52"/>
    <w:rsid w:val="008E216C"/>
    <w:rsid w:val="008E2316"/>
    <w:rsid w:val="008E3063"/>
    <w:rsid w:val="008E3281"/>
    <w:rsid w:val="008E34BE"/>
    <w:rsid w:val="008E3AA8"/>
    <w:rsid w:val="008E3E57"/>
    <w:rsid w:val="008E42CE"/>
    <w:rsid w:val="008E42F4"/>
    <w:rsid w:val="008E4333"/>
    <w:rsid w:val="008E4A31"/>
    <w:rsid w:val="008E5657"/>
    <w:rsid w:val="008E5E51"/>
    <w:rsid w:val="008E6FB0"/>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66D"/>
    <w:rsid w:val="00925BE6"/>
    <w:rsid w:val="00926697"/>
    <w:rsid w:val="00926F61"/>
    <w:rsid w:val="00926FA9"/>
    <w:rsid w:val="0093123D"/>
    <w:rsid w:val="00933040"/>
    <w:rsid w:val="009330E9"/>
    <w:rsid w:val="00934D97"/>
    <w:rsid w:val="00935D15"/>
    <w:rsid w:val="009403AC"/>
    <w:rsid w:val="009411FB"/>
    <w:rsid w:val="009414A9"/>
    <w:rsid w:val="00941B71"/>
    <w:rsid w:val="00941DF9"/>
    <w:rsid w:val="009421AD"/>
    <w:rsid w:val="0094221C"/>
    <w:rsid w:val="0094409C"/>
    <w:rsid w:val="00944159"/>
    <w:rsid w:val="00944833"/>
    <w:rsid w:val="009449B2"/>
    <w:rsid w:val="00944A82"/>
    <w:rsid w:val="00944BA5"/>
    <w:rsid w:val="00946C4D"/>
    <w:rsid w:val="0095019A"/>
    <w:rsid w:val="0095285B"/>
    <w:rsid w:val="00953FE9"/>
    <w:rsid w:val="00954417"/>
    <w:rsid w:val="009546D1"/>
    <w:rsid w:val="0095481C"/>
    <w:rsid w:val="0095526F"/>
    <w:rsid w:val="0095569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67F99"/>
    <w:rsid w:val="00971592"/>
    <w:rsid w:val="00971617"/>
    <w:rsid w:val="00971DDF"/>
    <w:rsid w:val="0097225C"/>
    <w:rsid w:val="00972AC5"/>
    <w:rsid w:val="009731D6"/>
    <w:rsid w:val="00973FC6"/>
    <w:rsid w:val="00974746"/>
    <w:rsid w:val="00974CB1"/>
    <w:rsid w:val="00975119"/>
    <w:rsid w:val="009763ED"/>
    <w:rsid w:val="00976F04"/>
    <w:rsid w:val="009777F4"/>
    <w:rsid w:val="00977AD8"/>
    <w:rsid w:val="00980A10"/>
    <w:rsid w:val="00981130"/>
    <w:rsid w:val="0098289D"/>
    <w:rsid w:val="00983109"/>
    <w:rsid w:val="009835E0"/>
    <w:rsid w:val="00983D46"/>
    <w:rsid w:val="00983DCA"/>
    <w:rsid w:val="00985EF7"/>
    <w:rsid w:val="00986093"/>
    <w:rsid w:val="00986146"/>
    <w:rsid w:val="00986CF9"/>
    <w:rsid w:val="00987416"/>
    <w:rsid w:val="00987FDC"/>
    <w:rsid w:val="00990C0E"/>
    <w:rsid w:val="00990D75"/>
    <w:rsid w:val="00991093"/>
    <w:rsid w:val="0099163B"/>
    <w:rsid w:val="00991C36"/>
    <w:rsid w:val="00992343"/>
    <w:rsid w:val="009938B1"/>
    <w:rsid w:val="00996258"/>
    <w:rsid w:val="00996306"/>
    <w:rsid w:val="00996744"/>
    <w:rsid w:val="00997CF4"/>
    <w:rsid w:val="009A1169"/>
    <w:rsid w:val="009A164C"/>
    <w:rsid w:val="009A1AAC"/>
    <w:rsid w:val="009A2BB6"/>
    <w:rsid w:val="009A2CB8"/>
    <w:rsid w:val="009A3789"/>
    <w:rsid w:val="009A45A2"/>
    <w:rsid w:val="009A690E"/>
    <w:rsid w:val="009A6919"/>
    <w:rsid w:val="009A6AC7"/>
    <w:rsid w:val="009B0408"/>
    <w:rsid w:val="009B0843"/>
    <w:rsid w:val="009B0DEE"/>
    <w:rsid w:val="009B1335"/>
    <w:rsid w:val="009B176D"/>
    <w:rsid w:val="009B1E47"/>
    <w:rsid w:val="009B2CED"/>
    <w:rsid w:val="009B3054"/>
    <w:rsid w:val="009B335D"/>
    <w:rsid w:val="009B3485"/>
    <w:rsid w:val="009B3B09"/>
    <w:rsid w:val="009B3C90"/>
    <w:rsid w:val="009B7179"/>
    <w:rsid w:val="009B76E3"/>
    <w:rsid w:val="009B7A72"/>
    <w:rsid w:val="009B7BB8"/>
    <w:rsid w:val="009C0E9B"/>
    <w:rsid w:val="009C126A"/>
    <w:rsid w:val="009C1D4C"/>
    <w:rsid w:val="009C2DD2"/>
    <w:rsid w:val="009C32AD"/>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45D"/>
    <w:rsid w:val="009D3578"/>
    <w:rsid w:val="009D3A5F"/>
    <w:rsid w:val="009D4F88"/>
    <w:rsid w:val="009D5193"/>
    <w:rsid w:val="009D5C32"/>
    <w:rsid w:val="009D5C56"/>
    <w:rsid w:val="009D6091"/>
    <w:rsid w:val="009D62C1"/>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263"/>
    <w:rsid w:val="00A04D7E"/>
    <w:rsid w:val="00A04F16"/>
    <w:rsid w:val="00A051D9"/>
    <w:rsid w:val="00A05DF3"/>
    <w:rsid w:val="00A07E08"/>
    <w:rsid w:val="00A10D79"/>
    <w:rsid w:val="00A11535"/>
    <w:rsid w:val="00A11E56"/>
    <w:rsid w:val="00A12798"/>
    <w:rsid w:val="00A13A09"/>
    <w:rsid w:val="00A14A42"/>
    <w:rsid w:val="00A14D68"/>
    <w:rsid w:val="00A153BE"/>
    <w:rsid w:val="00A15DEE"/>
    <w:rsid w:val="00A16085"/>
    <w:rsid w:val="00A16462"/>
    <w:rsid w:val="00A167B5"/>
    <w:rsid w:val="00A16DBE"/>
    <w:rsid w:val="00A179E0"/>
    <w:rsid w:val="00A17C4F"/>
    <w:rsid w:val="00A20653"/>
    <w:rsid w:val="00A20A39"/>
    <w:rsid w:val="00A238BD"/>
    <w:rsid w:val="00A23DCA"/>
    <w:rsid w:val="00A240D8"/>
    <w:rsid w:val="00A243E4"/>
    <w:rsid w:val="00A2459D"/>
    <w:rsid w:val="00A24692"/>
    <w:rsid w:val="00A24E23"/>
    <w:rsid w:val="00A2566C"/>
    <w:rsid w:val="00A25F05"/>
    <w:rsid w:val="00A26491"/>
    <w:rsid w:val="00A3017C"/>
    <w:rsid w:val="00A30B2D"/>
    <w:rsid w:val="00A311AE"/>
    <w:rsid w:val="00A312A6"/>
    <w:rsid w:val="00A312B3"/>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3322"/>
    <w:rsid w:val="00A44B43"/>
    <w:rsid w:val="00A4503E"/>
    <w:rsid w:val="00A450C0"/>
    <w:rsid w:val="00A45468"/>
    <w:rsid w:val="00A471A8"/>
    <w:rsid w:val="00A4791B"/>
    <w:rsid w:val="00A50A48"/>
    <w:rsid w:val="00A51180"/>
    <w:rsid w:val="00A51242"/>
    <w:rsid w:val="00A51522"/>
    <w:rsid w:val="00A51573"/>
    <w:rsid w:val="00A51A5E"/>
    <w:rsid w:val="00A52219"/>
    <w:rsid w:val="00A52895"/>
    <w:rsid w:val="00A52D7D"/>
    <w:rsid w:val="00A531E2"/>
    <w:rsid w:val="00A539A5"/>
    <w:rsid w:val="00A53DA0"/>
    <w:rsid w:val="00A5404D"/>
    <w:rsid w:val="00A555A7"/>
    <w:rsid w:val="00A555FB"/>
    <w:rsid w:val="00A5765D"/>
    <w:rsid w:val="00A579BD"/>
    <w:rsid w:val="00A607CB"/>
    <w:rsid w:val="00A61B8D"/>
    <w:rsid w:val="00A6351F"/>
    <w:rsid w:val="00A63809"/>
    <w:rsid w:val="00A64278"/>
    <w:rsid w:val="00A64A6E"/>
    <w:rsid w:val="00A6519F"/>
    <w:rsid w:val="00A65A70"/>
    <w:rsid w:val="00A6665F"/>
    <w:rsid w:val="00A66F36"/>
    <w:rsid w:val="00A676D9"/>
    <w:rsid w:val="00A67B8F"/>
    <w:rsid w:val="00A67EFC"/>
    <w:rsid w:val="00A7031E"/>
    <w:rsid w:val="00A71140"/>
    <w:rsid w:val="00A71812"/>
    <w:rsid w:val="00A7205E"/>
    <w:rsid w:val="00A74692"/>
    <w:rsid w:val="00A75A52"/>
    <w:rsid w:val="00A7618B"/>
    <w:rsid w:val="00A7640B"/>
    <w:rsid w:val="00A773A8"/>
    <w:rsid w:val="00A7778B"/>
    <w:rsid w:val="00A803BC"/>
    <w:rsid w:val="00A80969"/>
    <w:rsid w:val="00A849AD"/>
    <w:rsid w:val="00A85798"/>
    <w:rsid w:val="00A8609D"/>
    <w:rsid w:val="00A86EA7"/>
    <w:rsid w:val="00A91244"/>
    <w:rsid w:val="00A91774"/>
    <w:rsid w:val="00A91C7F"/>
    <w:rsid w:val="00A92066"/>
    <w:rsid w:val="00A92776"/>
    <w:rsid w:val="00A93181"/>
    <w:rsid w:val="00A938E6"/>
    <w:rsid w:val="00A93CCF"/>
    <w:rsid w:val="00A94E4E"/>
    <w:rsid w:val="00A95514"/>
    <w:rsid w:val="00A959E7"/>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6FCA"/>
    <w:rsid w:val="00AB709E"/>
    <w:rsid w:val="00AB7142"/>
    <w:rsid w:val="00AB7168"/>
    <w:rsid w:val="00AB7806"/>
    <w:rsid w:val="00AC02C1"/>
    <w:rsid w:val="00AC0AB6"/>
    <w:rsid w:val="00AC10AD"/>
    <w:rsid w:val="00AC1E55"/>
    <w:rsid w:val="00AC3D06"/>
    <w:rsid w:val="00AC429F"/>
    <w:rsid w:val="00AC58FC"/>
    <w:rsid w:val="00AC60B4"/>
    <w:rsid w:val="00AC67B6"/>
    <w:rsid w:val="00AC7D98"/>
    <w:rsid w:val="00AD00C5"/>
    <w:rsid w:val="00AD165F"/>
    <w:rsid w:val="00AD2794"/>
    <w:rsid w:val="00AD2DC5"/>
    <w:rsid w:val="00AD3455"/>
    <w:rsid w:val="00AD372F"/>
    <w:rsid w:val="00AD3CAD"/>
    <w:rsid w:val="00AD5A99"/>
    <w:rsid w:val="00AD69FF"/>
    <w:rsid w:val="00AD702B"/>
    <w:rsid w:val="00AD72E6"/>
    <w:rsid w:val="00AD7C95"/>
    <w:rsid w:val="00AD7FCD"/>
    <w:rsid w:val="00AE2BED"/>
    <w:rsid w:val="00AE3DE1"/>
    <w:rsid w:val="00AE5439"/>
    <w:rsid w:val="00AE61B2"/>
    <w:rsid w:val="00AE6789"/>
    <w:rsid w:val="00AE78D1"/>
    <w:rsid w:val="00AE7F89"/>
    <w:rsid w:val="00AF2D54"/>
    <w:rsid w:val="00AF3458"/>
    <w:rsid w:val="00AF3F7B"/>
    <w:rsid w:val="00AF42B4"/>
    <w:rsid w:val="00AF4B8A"/>
    <w:rsid w:val="00AF4F1B"/>
    <w:rsid w:val="00AF5EC6"/>
    <w:rsid w:val="00AF6968"/>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3897"/>
    <w:rsid w:val="00B34E63"/>
    <w:rsid w:val="00B3523D"/>
    <w:rsid w:val="00B35DA4"/>
    <w:rsid w:val="00B3791B"/>
    <w:rsid w:val="00B40A96"/>
    <w:rsid w:val="00B4184B"/>
    <w:rsid w:val="00B422A7"/>
    <w:rsid w:val="00B42A32"/>
    <w:rsid w:val="00B42FA6"/>
    <w:rsid w:val="00B4399E"/>
    <w:rsid w:val="00B43A16"/>
    <w:rsid w:val="00B45CE1"/>
    <w:rsid w:val="00B46A75"/>
    <w:rsid w:val="00B470A7"/>
    <w:rsid w:val="00B500CD"/>
    <w:rsid w:val="00B5109D"/>
    <w:rsid w:val="00B51937"/>
    <w:rsid w:val="00B52393"/>
    <w:rsid w:val="00B5239C"/>
    <w:rsid w:val="00B53259"/>
    <w:rsid w:val="00B53893"/>
    <w:rsid w:val="00B548C2"/>
    <w:rsid w:val="00B54B6A"/>
    <w:rsid w:val="00B55428"/>
    <w:rsid w:val="00B557E3"/>
    <w:rsid w:val="00B570BF"/>
    <w:rsid w:val="00B60471"/>
    <w:rsid w:val="00B60B8F"/>
    <w:rsid w:val="00B625CC"/>
    <w:rsid w:val="00B63337"/>
    <w:rsid w:val="00B6369F"/>
    <w:rsid w:val="00B639D7"/>
    <w:rsid w:val="00B64AA7"/>
    <w:rsid w:val="00B65452"/>
    <w:rsid w:val="00B66594"/>
    <w:rsid w:val="00B66A79"/>
    <w:rsid w:val="00B67805"/>
    <w:rsid w:val="00B716E0"/>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BC9"/>
    <w:rsid w:val="00BA371C"/>
    <w:rsid w:val="00BA4641"/>
    <w:rsid w:val="00BA4A54"/>
    <w:rsid w:val="00BA4E6C"/>
    <w:rsid w:val="00BA6EB7"/>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77F"/>
    <w:rsid w:val="00BE6BEC"/>
    <w:rsid w:val="00BF0CCF"/>
    <w:rsid w:val="00BF0FC5"/>
    <w:rsid w:val="00BF10BC"/>
    <w:rsid w:val="00BF21AC"/>
    <w:rsid w:val="00BF2E53"/>
    <w:rsid w:val="00BF352A"/>
    <w:rsid w:val="00BF3669"/>
    <w:rsid w:val="00BF3C0D"/>
    <w:rsid w:val="00BF6252"/>
    <w:rsid w:val="00BF711C"/>
    <w:rsid w:val="00BF748E"/>
    <w:rsid w:val="00BF789B"/>
    <w:rsid w:val="00C019A8"/>
    <w:rsid w:val="00C03309"/>
    <w:rsid w:val="00C0377F"/>
    <w:rsid w:val="00C037E0"/>
    <w:rsid w:val="00C072FE"/>
    <w:rsid w:val="00C11ADE"/>
    <w:rsid w:val="00C126E0"/>
    <w:rsid w:val="00C12E39"/>
    <w:rsid w:val="00C13D47"/>
    <w:rsid w:val="00C14164"/>
    <w:rsid w:val="00C14C53"/>
    <w:rsid w:val="00C1579B"/>
    <w:rsid w:val="00C15D8E"/>
    <w:rsid w:val="00C167E0"/>
    <w:rsid w:val="00C17012"/>
    <w:rsid w:val="00C178FB"/>
    <w:rsid w:val="00C17DF9"/>
    <w:rsid w:val="00C201EB"/>
    <w:rsid w:val="00C20ACC"/>
    <w:rsid w:val="00C22B28"/>
    <w:rsid w:val="00C257B7"/>
    <w:rsid w:val="00C272E8"/>
    <w:rsid w:val="00C30ABC"/>
    <w:rsid w:val="00C30B60"/>
    <w:rsid w:val="00C31FAA"/>
    <w:rsid w:val="00C3224D"/>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1AC"/>
    <w:rsid w:val="00C62B0A"/>
    <w:rsid w:val="00C63848"/>
    <w:rsid w:val="00C63C52"/>
    <w:rsid w:val="00C63F08"/>
    <w:rsid w:val="00C6528C"/>
    <w:rsid w:val="00C661E8"/>
    <w:rsid w:val="00C70080"/>
    <w:rsid w:val="00C70084"/>
    <w:rsid w:val="00C7090B"/>
    <w:rsid w:val="00C7235B"/>
    <w:rsid w:val="00C72E18"/>
    <w:rsid w:val="00C731AD"/>
    <w:rsid w:val="00C7380B"/>
    <w:rsid w:val="00C74421"/>
    <w:rsid w:val="00C74B76"/>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6B1D"/>
    <w:rsid w:val="00C8735C"/>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0D29"/>
    <w:rsid w:val="00CB1CAC"/>
    <w:rsid w:val="00CB1DE8"/>
    <w:rsid w:val="00CB1E3B"/>
    <w:rsid w:val="00CB1F1D"/>
    <w:rsid w:val="00CB51A3"/>
    <w:rsid w:val="00CB6795"/>
    <w:rsid w:val="00CB71F8"/>
    <w:rsid w:val="00CC06E1"/>
    <w:rsid w:val="00CC180A"/>
    <w:rsid w:val="00CC1F61"/>
    <w:rsid w:val="00CC26DB"/>
    <w:rsid w:val="00CC300C"/>
    <w:rsid w:val="00CC35AE"/>
    <w:rsid w:val="00CC3DAA"/>
    <w:rsid w:val="00CC4C2C"/>
    <w:rsid w:val="00CC5057"/>
    <w:rsid w:val="00CC767E"/>
    <w:rsid w:val="00CD078F"/>
    <w:rsid w:val="00CD121E"/>
    <w:rsid w:val="00CD185D"/>
    <w:rsid w:val="00CD24C1"/>
    <w:rsid w:val="00CD28F0"/>
    <w:rsid w:val="00CD3ED8"/>
    <w:rsid w:val="00CD48AE"/>
    <w:rsid w:val="00CD497A"/>
    <w:rsid w:val="00CD761D"/>
    <w:rsid w:val="00CD76B5"/>
    <w:rsid w:val="00CD78B9"/>
    <w:rsid w:val="00CE216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22B4"/>
    <w:rsid w:val="00D035B9"/>
    <w:rsid w:val="00D040B7"/>
    <w:rsid w:val="00D05105"/>
    <w:rsid w:val="00D0530E"/>
    <w:rsid w:val="00D05A5E"/>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2B5D"/>
    <w:rsid w:val="00D73077"/>
    <w:rsid w:val="00D736A2"/>
    <w:rsid w:val="00D73C57"/>
    <w:rsid w:val="00D742FF"/>
    <w:rsid w:val="00D758B3"/>
    <w:rsid w:val="00D76ADC"/>
    <w:rsid w:val="00D77413"/>
    <w:rsid w:val="00D77603"/>
    <w:rsid w:val="00D80B04"/>
    <w:rsid w:val="00D81F10"/>
    <w:rsid w:val="00D82798"/>
    <w:rsid w:val="00D82BF2"/>
    <w:rsid w:val="00D84A57"/>
    <w:rsid w:val="00D867D2"/>
    <w:rsid w:val="00D87307"/>
    <w:rsid w:val="00D874DF"/>
    <w:rsid w:val="00D87A12"/>
    <w:rsid w:val="00D930E1"/>
    <w:rsid w:val="00D9354D"/>
    <w:rsid w:val="00D9415C"/>
    <w:rsid w:val="00D942CC"/>
    <w:rsid w:val="00D944E4"/>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DAB"/>
    <w:rsid w:val="00DB39D4"/>
    <w:rsid w:val="00DB3A47"/>
    <w:rsid w:val="00DB46D0"/>
    <w:rsid w:val="00DB46DF"/>
    <w:rsid w:val="00DB49B6"/>
    <w:rsid w:val="00DB4E06"/>
    <w:rsid w:val="00DB5701"/>
    <w:rsid w:val="00DB6A80"/>
    <w:rsid w:val="00DB6C06"/>
    <w:rsid w:val="00DB7B06"/>
    <w:rsid w:val="00DC043D"/>
    <w:rsid w:val="00DC2610"/>
    <w:rsid w:val="00DC318A"/>
    <w:rsid w:val="00DC3A9D"/>
    <w:rsid w:val="00DC4004"/>
    <w:rsid w:val="00DC4243"/>
    <w:rsid w:val="00DC5584"/>
    <w:rsid w:val="00DC6769"/>
    <w:rsid w:val="00DC6C1E"/>
    <w:rsid w:val="00DC7255"/>
    <w:rsid w:val="00DC72CE"/>
    <w:rsid w:val="00DC7951"/>
    <w:rsid w:val="00DD1C4B"/>
    <w:rsid w:val="00DD1F7B"/>
    <w:rsid w:val="00DD229E"/>
    <w:rsid w:val="00DD3029"/>
    <w:rsid w:val="00DD55E0"/>
    <w:rsid w:val="00DD594A"/>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00"/>
    <w:rsid w:val="00E011D7"/>
    <w:rsid w:val="00E01FDD"/>
    <w:rsid w:val="00E02000"/>
    <w:rsid w:val="00E031BB"/>
    <w:rsid w:val="00E0417B"/>
    <w:rsid w:val="00E0576C"/>
    <w:rsid w:val="00E068BC"/>
    <w:rsid w:val="00E06B68"/>
    <w:rsid w:val="00E073F0"/>
    <w:rsid w:val="00E10761"/>
    <w:rsid w:val="00E11D7A"/>
    <w:rsid w:val="00E11EEB"/>
    <w:rsid w:val="00E11EFA"/>
    <w:rsid w:val="00E128F2"/>
    <w:rsid w:val="00E13E5A"/>
    <w:rsid w:val="00E13EE4"/>
    <w:rsid w:val="00E16463"/>
    <w:rsid w:val="00E1652F"/>
    <w:rsid w:val="00E16F82"/>
    <w:rsid w:val="00E17F6F"/>
    <w:rsid w:val="00E20B20"/>
    <w:rsid w:val="00E239D1"/>
    <w:rsid w:val="00E246B9"/>
    <w:rsid w:val="00E250C5"/>
    <w:rsid w:val="00E26727"/>
    <w:rsid w:val="00E26970"/>
    <w:rsid w:val="00E2728F"/>
    <w:rsid w:val="00E27791"/>
    <w:rsid w:val="00E30F2D"/>
    <w:rsid w:val="00E31651"/>
    <w:rsid w:val="00E31926"/>
    <w:rsid w:val="00E319DB"/>
    <w:rsid w:val="00E31AFC"/>
    <w:rsid w:val="00E3250F"/>
    <w:rsid w:val="00E3381A"/>
    <w:rsid w:val="00E3409E"/>
    <w:rsid w:val="00E34F76"/>
    <w:rsid w:val="00E35558"/>
    <w:rsid w:val="00E37BE5"/>
    <w:rsid w:val="00E40CE8"/>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920"/>
    <w:rsid w:val="00E73AB7"/>
    <w:rsid w:val="00E74F5D"/>
    <w:rsid w:val="00E76034"/>
    <w:rsid w:val="00E763DD"/>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0792"/>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2E4A"/>
    <w:rsid w:val="00ED33AE"/>
    <w:rsid w:val="00ED33EA"/>
    <w:rsid w:val="00ED3775"/>
    <w:rsid w:val="00ED3DE2"/>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6BF2"/>
    <w:rsid w:val="00F07F39"/>
    <w:rsid w:val="00F10CB9"/>
    <w:rsid w:val="00F110CD"/>
    <w:rsid w:val="00F110D5"/>
    <w:rsid w:val="00F12351"/>
    <w:rsid w:val="00F13408"/>
    <w:rsid w:val="00F144AD"/>
    <w:rsid w:val="00F14CF4"/>
    <w:rsid w:val="00F15193"/>
    <w:rsid w:val="00F16739"/>
    <w:rsid w:val="00F16DE2"/>
    <w:rsid w:val="00F2052B"/>
    <w:rsid w:val="00F22183"/>
    <w:rsid w:val="00F2260F"/>
    <w:rsid w:val="00F242AD"/>
    <w:rsid w:val="00F247F2"/>
    <w:rsid w:val="00F2518F"/>
    <w:rsid w:val="00F252A8"/>
    <w:rsid w:val="00F265F7"/>
    <w:rsid w:val="00F27FA6"/>
    <w:rsid w:val="00F32C11"/>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21AC"/>
    <w:rsid w:val="00F657CF"/>
    <w:rsid w:val="00F65808"/>
    <w:rsid w:val="00F6587D"/>
    <w:rsid w:val="00F66A00"/>
    <w:rsid w:val="00F66CFB"/>
    <w:rsid w:val="00F705C7"/>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5F92"/>
    <w:rsid w:val="00F86653"/>
    <w:rsid w:val="00F86904"/>
    <w:rsid w:val="00F87032"/>
    <w:rsid w:val="00F87094"/>
    <w:rsid w:val="00F87AB3"/>
    <w:rsid w:val="00F87F6E"/>
    <w:rsid w:val="00F913DC"/>
    <w:rsid w:val="00F91DDA"/>
    <w:rsid w:val="00F9397A"/>
    <w:rsid w:val="00F93A37"/>
    <w:rsid w:val="00F94182"/>
    <w:rsid w:val="00F9431F"/>
    <w:rsid w:val="00F944D9"/>
    <w:rsid w:val="00F94DB3"/>
    <w:rsid w:val="00F96500"/>
    <w:rsid w:val="00FA31E7"/>
    <w:rsid w:val="00FA413A"/>
    <w:rsid w:val="00FA4144"/>
    <w:rsid w:val="00FA4DDF"/>
    <w:rsid w:val="00FA645E"/>
    <w:rsid w:val="00FA6A1E"/>
    <w:rsid w:val="00FA6E7F"/>
    <w:rsid w:val="00FA7114"/>
    <w:rsid w:val="00FB052D"/>
    <w:rsid w:val="00FB2101"/>
    <w:rsid w:val="00FB22D7"/>
    <w:rsid w:val="00FB2379"/>
    <w:rsid w:val="00FB2C98"/>
    <w:rsid w:val="00FB3CB7"/>
    <w:rsid w:val="00FB4B8A"/>
    <w:rsid w:val="00FB5152"/>
    <w:rsid w:val="00FB5F8F"/>
    <w:rsid w:val="00FB680E"/>
    <w:rsid w:val="00FB6B73"/>
    <w:rsid w:val="00FB7A0B"/>
    <w:rsid w:val="00FC0065"/>
    <w:rsid w:val="00FC062F"/>
    <w:rsid w:val="00FC0754"/>
    <w:rsid w:val="00FC3AEE"/>
    <w:rsid w:val="00FC6060"/>
    <w:rsid w:val="00FC6238"/>
    <w:rsid w:val="00FC65CC"/>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770"/>
    <w:rsid w:val="00FE515A"/>
    <w:rsid w:val="00FE5421"/>
    <w:rsid w:val="00FE5624"/>
    <w:rsid w:val="00FE5703"/>
    <w:rsid w:val="00FE5D2C"/>
    <w:rsid w:val="00FE5FBF"/>
    <w:rsid w:val="00FE6C25"/>
    <w:rsid w:val="00FF033A"/>
    <w:rsid w:val="00FF0964"/>
    <w:rsid w:val="00FF0F67"/>
    <w:rsid w:val="00FF16F2"/>
    <w:rsid w:val="00FF1F9B"/>
    <w:rsid w:val="00FF2611"/>
    <w:rsid w:val="00FF2B42"/>
    <w:rsid w:val="00FF2D5B"/>
    <w:rsid w:val="00FF3B7F"/>
    <w:rsid w:val="00FF4F92"/>
    <w:rsid w:val="00FF5428"/>
    <w:rsid w:val="00FF54EB"/>
    <w:rsid w:val="00FF6822"/>
    <w:rsid w:val="00FF73D0"/>
    <w:rsid w:val="0338EF8E"/>
    <w:rsid w:val="06BA3A3A"/>
    <w:rsid w:val="06BA53E3"/>
    <w:rsid w:val="070064E9"/>
    <w:rsid w:val="07B39E99"/>
    <w:rsid w:val="07BA243F"/>
    <w:rsid w:val="09C0678C"/>
    <w:rsid w:val="0C365EA4"/>
    <w:rsid w:val="0C7C81B0"/>
    <w:rsid w:val="0D0EDE05"/>
    <w:rsid w:val="0D7B47A2"/>
    <w:rsid w:val="0DA17FB7"/>
    <w:rsid w:val="0E29498A"/>
    <w:rsid w:val="0ED41F8D"/>
    <w:rsid w:val="0F280164"/>
    <w:rsid w:val="0F88C7F4"/>
    <w:rsid w:val="10E807B4"/>
    <w:rsid w:val="11194638"/>
    <w:rsid w:val="11A2E14B"/>
    <w:rsid w:val="1328B26E"/>
    <w:rsid w:val="141204DA"/>
    <w:rsid w:val="14A054AA"/>
    <w:rsid w:val="14A7980B"/>
    <w:rsid w:val="16512788"/>
    <w:rsid w:val="1703FA0C"/>
    <w:rsid w:val="176B25A9"/>
    <w:rsid w:val="184204ED"/>
    <w:rsid w:val="1915AFB6"/>
    <w:rsid w:val="1A219784"/>
    <w:rsid w:val="1E8211F6"/>
    <w:rsid w:val="1FAE4E7B"/>
    <w:rsid w:val="207C5373"/>
    <w:rsid w:val="2272ADB7"/>
    <w:rsid w:val="2325766C"/>
    <w:rsid w:val="233FF8B8"/>
    <w:rsid w:val="269A6693"/>
    <w:rsid w:val="292B5690"/>
    <w:rsid w:val="2A307146"/>
    <w:rsid w:val="2C081102"/>
    <w:rsid w:val="2C87A766"/>
    <w:rsid w:val="2F6639AC"/>
    <w:rsid w:val="2FE51534"/>
    <w:rsid w:val="31C56060"/>
    <w:rsid w:val="32182866"/>
    <w:rsid w:val="32975CEE"/>
    <w:rsid w:val="330A0C68"/>
    <w:rsid w:val="33949CF5"/>
    <w:rsid w:val="33A4A8DC"/>
    <w:rsid w:val="3464471D"/>
    <w:rsid w:val="346901B8"/>
    <w:rsid w:val="38076F22"/>
    <w:rsid w:val="3A4DB84D"/>
    <w:rsid w:val="3A873327"/>
    <w:rsid w:val="3A9BAB2D"/>
    <w:rsid w:val="3B3CC1F4"/>
    <w:rsid w:val="3E61DC49"/>
    <w:rsid w:val="4008D6ED"/>
    <w:rsid w:val="402B8C46"/>
    <w:rsid w:val="416979EA"/>
    <w:rsid w:val="4300A28A"/>
    <w:rsid w:val="4439A050"/>
    <w:rsid w:val="443D3201"/>
    <w:rsid w:val="4592DFDC"/>
    <w:rsid w:val="46A7B5C6"/>
    <w:rsid w:val="4724FB59"/>
    <w:rsid w:val="4864C39F"/>
    <w:rsid w:val="48CAD879"/>
    <w:rsid w:val="4A532CC9"/>
    <w:rsid w:val="4D62406C"/>
    <w:rsid w:val="4E24536E"/>
    <w:rsid w:val="4F47E12C"/>
    <w:rsid w:val="4FC3917F"/>
    <w:rsid w:val="52562533"/>
    <w:rsid w:val="529BA0ED"/>
    <w:rsid w:val="5378822C"/>
    <w:rsid w:val="5597F996"/>
    <w:rsid w:val="567380E6"/>
    <w:rsid w:val="574EC407"/>
    <w:rsid w:val="577ABB3F"/>
    <w:rsid w:val="578C81EA"/>
    <w:rsid w:val="578D3714"/>
    <w:rsid w:val="57FB48B2"/>
    <w:rsid w:val="58555A21"/>
    <w:rsid w:val="5A09510C"/>
    <w:rsid w:val="5A1F6C83"/>
    <w:rsid w:val="5B73DA29"/>
    <w:rsid w:val="5B7ECE71"/>
    <w:rsid w:val="5C07BE12"/>
    <w:rsid w:val="5DDAE991"/>
    <w:rsid w:val="601429BD"/>
    <w:rsid w:val="60417B16"/>
    <w:rsid w:val="6361E8DA"/>
    <w:rsid w:val="655741C0"/>
    <w:rsid w:val="65FA20B1"/>
    <w:rsid w:val="661D2E44"/>
    <w:rsid w:val="66740B0C"/>
    <w:rsid w:val="67205F1A"/>
    <w:rsid w:val="672BEDA5"/>
    <w:rsid w:val="68D092B6"/>
    <w:rsid w:val="695A62B8"/>
    <w:rsid w:val="69F6BAB1"/>
    <w:rsid w:val="6DCE0266"/>
    <w:rsid w:val="6F2EE974"/>
    <w:rsid w:val="6FDB62BE"/>
    <w:rsid w:val="701B3BE7"/>
    <w:rsid w:val="73F31950"/>
    <w:rsid w:val="740C7680"/>
    <w:rsid w:val="740CD04C"/>
    <w:rsid w:val="7572CF84"/>
    <w:rsid w:val="7596BB14"/>
    <w:rsid w:val="7609B8DD"/>
    <w:rsid w:val="760D654E"/>
    <w:rsid w:val="770A784C"/>
    <w:rsid w:val="77D6EBC8"/>
    <w:rsid w:val="781ED33A"/>
    <w:rsid w:val="78A85DED"/>
    <w:rsid w:val="793BA90F"/>
    <w:rsid w:val="7B77501E"/>
    <w:rsid w:val="7CA925C1"/>
    <w:rsid w:val="7D949928"/>
    <w:rsid w:val="7DE11230"/>
    <w:rsid w:val="7E8052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21"/>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TALCar">
    <w:name w:val="TAL Car"/>
    <w:link w:val="TAL"/>
    <w:locked/>
    <w:rsid w:val="00E31926"/>
    <w:rPr>
      <w:rFonts w:ascii="Arial" w:hAnsi="Arial"/>
      <w:sz w:val="18"/>
      <w:lang w:val="en-GB"/>
    </w:rPr>
  </w:style>
  <w:style w:type="character" w:customStyle="1" w:styleId="PLChar">
    <w:name w:val="PL Char"/>
    <w:link w:val="PL"/>
    <w:qFormat/>
    <w:rsid w:val="00E31926"/>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1521316469">
          <w:marLeft w:val="0"/>
          <w:marRight w:val="0"/>
          <w:marTop w:val="0"/>
          <w:marBottom w:val="0"/>
          <w:divBdr>
            <w:top w:val="none" w:sz="0" w:space="0" w:color="auto"/>
            <w:left w:val="none" w:sz="0" w:space="0" w:color="auto"/>
            <w:bottom w:val="none" w:sz="0" w:space="0" w:color="auto"/>
            <w:right w:val="none" w:sz="0" w:space="0" w:color="auto"/>
          </w:divBdr>
        </w:div>
        <w:div w:id="314264164">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84186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1239750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0221140">
      <w:bodyDiv w:val="1"/>
      <w:marLeft w:val="0"/>
      <w:marRight w:val="0"/>
      <w:marTop w:val="0"/>
      <w:marBottom w:val="0"/>
      <w:divBdr>
        <w:top w:val="none" w:sz="0" w:space="0" w:color="auto"/>
        <w:left w:val="none" w:sz="0" w:space="0" w:color="auto"/>
        <w:bottom w:val="none" w:sz="0" w:space="0" w:color="auto"/>
        <w:right w:val="none" w:sz="0" w:space="0" w:color="auto"/>
      </w:divBdr>
      <w:divsChild>
        <w:div w:id="801658100">
          <w:marLeft w:val="547"/>
          <w:marRight w:val="0"/>
          <w:marTop w:val="0"/>
          <w:marBottom w:val="60"/>
          <w:divBdr>
            <w:top w:val="none" w:sz="0" w:space="0" w:color="auto"/>
            <w:left w:val="none" w:sz="0" w:space="0" w:color="auto"/>
            <w:bottom w:val="none" w:sz="0" w:space="0" w:color="auto"/>
            <w:right w:val="none" w:sz="0" w:space="0" w:color="auto"/>
          </w:divBdr>
        </w:div>
        <w:div w:id="1936786786">
          <w:marLeft w:val="1166"/>
          <w:marRight w:val="0"/>
          <w:marTop w:val="0"/>
          <w:marBottom w:val="60"/>
          <w:divBdr>
            <w:top w:val="none" w:sz="0" w:space="0" w:color="auto"/>
            <w:left w:val="none" w:sz="0" w:space="0" w:color="auto"/>
            <w:bottom w:val="none" w:sz="0" w:space="0" w:color="auto"/>
            <w:right w:val="none" w:sz="0" w:space="0" w:color="auto"/>
          </w:divBdr>
        </w:div>
        <w:div w:id="1111509174">
          <w:marLeft w:val="547"/>
          <w:marRight w:val="0"/>
          <w:marTop w:val="0"/>
          <w:marBottom w:val="60"/>
          <w:divBdr>
            <w:top w:val="none" w:sz="0" w:space="0" w:color="auto"/>
            <w:left w:val="none" w:sz="0" w:space="0" w:color="auto"/>
            <w:bottom w:val="none" w:sz="0" w:space="0" w:color="auto"/>
            <w:right w:val="none" w:sz="0" w:space="0" w:color="auto"/>
          </w:divBdr>
        </w:div>
        <w:div w:id="398360375">
          <w:marLeft w:val="1166"/>
          <w:marRight w:val="0"/>
          <w:marTop w:val="0"/>
          <w:marBottom w:val="60"/>
          <w:divBdr>
            <w:top w:val="none" w:sz="0" w:space="0" w:color="auto"/>
            <w:left w:val="none" w:sz="0" w:space="0" w:color="auto"/>
            <w:bottom w:val="none" w:sz="0" w:space="0" w:color="auto"/>
            <w:right w:val="none" w:sz="0" w:space="0" w:color="auto"/>
          </w:divBdr>
        </w:div>
        <w:div w:id="970135206">
          <w:marLeft w:val="547"/>
          <w:marRight w:val="0"/>
          <w:marTop w:val="0"/>
          <w:marBottom w:val="60"/>
          <w:divBdr>
            <w:top w:val="none" w:sz="0" w:space="0" w:color="auto"/>
            <w:left w:val="none" w:sz="0" w:space="0" w:color="auto"/>
            <w:bottom w:val="none" w:sz="0" w:space="0" w:color="auto"/>
            <w:right w:val="none" w:sz="0" w:space="0" w:color="auto"/>
          </w:divBdr>
        </w:div>
        <w:div w:id="1487238915">
          <w:marLeft w:val="547"/>
          <w:marRight w:val="0"/>
          <w:marTop w:val="0"/>
          <w:marBottom w:val="6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0448614">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1556809">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5AIRPNAIUNRU-1830940522-5971</_dlc_DocId>
    <_dlc_DocIdUrl xmlns="71c5aaf6-e6ce-465b-b873-5148d2a4c105">
      <Url>https://nokia.sharepoint.com/sites/c5g/5gradio/_layouts/15/DocIdRedir.aspx?ID=5AIRPNAIUNRU-1830940522-5971</Url>
      <Description>5AIRPNAIUNRU-1830940522-5971</Description>
    </_dlc_DocIdUrl>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71c5aaf6-e6ce-465b-b873-5148d2a4c105"/>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3b34c8f0-1ef5-4d1e-bb66-517ce7fe7356"/>
    <ds:schemaRef ds:uri="ebabf6ce-2443-438c-9946-ecc878e7654a"/>
    <ds:schemaRef ds:uri="http://purl.org/dc/terms/"/>
    <ds:schemaRef ds:uri="95d2e41d-1f11-4347-bb1c-11d6a32975dd"/>
    <ds:schemaRef ds:uri="http://www.w3.org/XML/1998/namespace"/>
    <ds:schemaRef ds:uri="http://purl.org/dc/dcmitype/"/>
  </ds:schemaRefs>
</ds:datastoreItem>
</file>

<file path=customXml/itemProps4.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B5A95598-FBDA-4E49-8CAE-A9A955EA3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6</Pages>
  <Words>2550</Words>
  <Characters>14540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17056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2</cp:revision>
  <cp:lastPrinted>2019-03-28T09:37:00Z</cp:lastPrinted>
  <dcterms:created xsi:type="dcterms:W3CDTF">2019-08-16T17:11:00Z</dcterms:created>
  <dcterms:modified xsi:type="dcterms:W3CDTF">2019-08-16T17:11:00Z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3fb6ddb1-71a6-4a8a-8132-c1484de7941d</vt:lpwstr>
  </property>
  <property fmtid="{D5CDD505-2E9C-101B-9397-08002B2CF9AE}" pid="9" name="AuthorIds_UIVersion_2048">
    <vt:lpwstr>14130</vt:lpwstr>
  </property>
  <property fmtid="{D5CDD505-2E9C-101B-9397-08002B2CF9AE}" pid="10" name="AuthorIds_UIVersion_512">
    <vt:lpwstr>14130</vt:lpwstr>
  </property>
</Properties>
</file>